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3B01" w14:textId="224B16C7" w:rsidR="0062758C" w:rsidRDefault="0062758C" w:rsidP="0062758C">
      <w:pPr>
        <w:spacing w:line="240" w:lineRule="auto"/>
        <w:jc w:val="center"/>
        <w:rPr>
          <w:b/>
          <w:sz w:val="16"/>
          <w:szCs w:val="16"/>
          <w:lang w:val="en-GB"/>
        </w:rPr>
      </w:pPr>
      <w:r>
        <w:rPr>
          <w:b/>
          <w:sz w:val="28"/>
          <w:szCs w:val="28"/>
          <w:lang w:val="en-GB"/>
        </w:rPr>
        <w:t xml:space="preserve">Zennor Asset Management </w:t>
      </w:r>
      <w:r>
        <w:rPr>
          <w:b/>
          <w:sz w:val="28"/>
          <w:szCs w:val="28"/>
          <w:lang w:val="en-GB"/>
        </w:rPr>
        <w:br/>
        <w:t xml:space="preserve">ACTIVE OWNERSHIP REPORT </w:t>
      </w:r>
      <w:r>
        <w:rPr>
          <w:b/>
          <w:sz w:val="28"/>
          <w:szCs w:val="28"/>
          <w:lang w:val="en-GB"/>
        </w:rPr>
        <w:br/>
        <w:t>H1 2022</w:t>
      </w:r>
      <w:r>
        <w:rPr>
          <w:b/>
          <w:sz w:val="28"/>
          <w:szCs w:val="28"/>
          <w:lang w:val="en-GB"/>
        </w:rPr>
        <w:br/>
      </w:r>
    </w:p>
    <w:p w14:paraId="6FE55A12" w14:textId="77777777" w:rsidR="0062758C" w:rsidRDefault="0062758C" w:rsidP="0062758C">
      <w:pPr>
        <w:spacing w:line="240" w:lineRule="auto"/>
        <w:rPr>
          <w:b/>
          <w:lang w:val="en-GB"/>
        </w:rPr>
      </w:pPr>
    </w:p>
    <w:p w14:paraId="4CBD5408" w14:textId="77777777" w:rsidR="0062758C" w:rsidRDefault="0062758C" w:rsidP="0062758C">
      <w:pPr>
        <w:pStyle w:val="ListParagraph"/>
        <w:spacing w:line="240" w:lineRule="auto"/>
        <w:rPr>
          <w:b/>
          <w:lang w:val="en-GB"/>
        </w:rPr>
      </w:pPr>
    </w:p>
    <w:p w14:paraId="164D9B8A" w14:textId="77777777" w:rsidR="0062758C" w:rsidRDefault="0062758C" w:rsidP="0062758C">
      <w:pPr>
        <w:pStyle w:val="ListParagraph"/>
        <w:numPr>
          <w:ilvl w:val="0"/>
          <w:numId w:val="1"/>
        </w:numPr>
        <w:spacing w:line="240" w:lineRule="auto"/>
        <w:rPr>
          <w:b/>
          <w:lang w:val="en-GB"/>
        </w:rPr>
      </w:pPr>
      <w:r>
        <w:rPr>
          <w:b/>
          <w:lang w:val="en-GB"/>
        </w:rPr>
        <w:t>VOTING BEHAVIOR</w:t>
      </w:r>
    </w:p>
    <w:p w14:paraId="3A54AE70" w14:textId="77777777" w:rsidR="0062758C" w:rsidRDefault="0062758C" w:rsidP="0062758C">
      <w:pPr>
        <w:pStyle w:val="ListParagraph"/>
        <w:spacing w:line="240" w:lineRule="auto"/>
        <w:rPr>
          <w:b/>
          <w:lang w:val="en-GB"/>
        </w:rPr>
      </w:pPr>
    </w:p>
    <w:p w14:paraId="5DB4C618" w14:textId="77777777" w:rsidR="0062758C" w:rsidRPr="00316A8A" w:rsidRDefault="0062758C" w:rsidP="0062758C">
      <w:pPr>
        <w:pStyle w:val="ListParagraph"/>
        <w:numPr>
          <w:ilvl w:val="0"/>
          <w:numId w:val="2"/>
        </w:numPr>
        <w:spacing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V</w:t>
      </w:r>
      <w:r w:rsidRPr="002C6D0E">
        <w:rPr>
          <w:b/>
          <w:bCs/>
          <w:lang w:val="en-GB"/>
        </w:rPr>
        <w:t xml:space="preserve">oting behaviour </w:t>
      </w:r>
    </w:p>
    <w:p w14:paraId="61A702BE" w14:textId="116428C9" w:rsidR="00BE2627" w:rsidRDefault="00BD327A" w:rsidP="00510A42">
      <w:pPr>
        <w:spacing w:line="240" w:lineRule="auto"/>
        <w:jc w:val="both"/>
        <w:rPr>
          <w:lang w:val="en-GB"/>
        </w:rPr>
      </w:pPr>
      <w:r>
        <w:rPr>
          <w:lang w:val="en-GB"/>
        </w:rPr>
        <w:t>Zennor believes that voting is one of the fundamental responsibilities of stewardship. It is an</w:t>
      </w:r>
      <w:r w:rsidR="008B36E4">
        <w:rPr>
          <w:lang w:val="en-GB"/>
        </w:rPr>
        <w:t xml:space="preserve"> </w:t>
      </w:r>
      <w:r>
        <w:rPr>
          <w:lang w:val="en-GB"/>
        </w:rPr>
        <w:t xml:space="preserve">opportunity to </w:t>
      </w:r>
      <w:r w:rsidR="00D6313B">
        <w:rPr>
          <w:lang w:val="en-GB"/>
        </w:rPr>
        <w:t>formally</w:t>
      </w:r>
      <w:r>
        <w:rPr>
          <w:lang w:val="en-GB"/>
        </w:rPr>
        <w:t xml:space="preserve"> sup</w:t>
      </w:r>
      <w:r w:rsidR="00D6313B">
        <w:rPr>
          <w:lang w:val="en-GB"/>
        </w:rPr>
        <w:t xml:space="preserve">port the management or not to support their policy. </w:t>
      </w:r>
      <w:r>
        <w:rPr>
          <w:lang w:val="en-GB"/>
        </w:rPr>
        <w:t xml:space="preserve"> </w:t>
      </w:r>
      <w:r w:rsidR="008B36E4">
        <w:rPr>
          <w:lang w:val="en-GB"/>
        </w:rPr>
        <w:t>I</w:t>
      </w:r>
      <w:r w:rsidR="00D6313B">
        <w:rPr>
          <w:lang w:val="en-GB"/>
        </w:rPr>
        <w:t xml:space="preserve">n Japan </w:t>
      </w:r>
      <w:r w:rsidR="008B36E4">
        <w:rPr>
          <w:lang w:val="en-GB"/>
        </w:rPr>
        <w:t xml:space="preserve">even </w:t>
      </w:r>
      <w:r w:rsidR="00BF5A63">
        <w:rPr>
          <w:lang w:val="en-GB"/>
        </w:rPr>
        <w:t>modest level</w:t>
      </w:r>
      <w:r w:rsidR="00BE2627">
        <w:rPr>
          <w:lang w:val="en-GB"/>
        </w:rPr>
        <w:t>s of</w:t>
      </w:r>
      <w:r w:rsidR="00BF5A63">
        <w:rPr>
          <w:lang w:val="en-GB"/>
        </w:rPr>
        <w:t xml:space="preserve"> non-support can be sufficient to drive an internal reassessment</w:t>
      </w:r>
      <w:r w:rsidR="00BE2627">
        <w:rPr>
          <w:lang w:val="en-GB"/>
        </w:rPr>
        <w:t xml:space="preserve">. </w:t>
      </w:r>
    </w:p>
    <w:p w14:paraId="35D27EA2" w14:textId="46310559" w:rsidR="00F86579" w:rsidRDefault="00F86579" w:rsidP="00510A42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These details are provided in the </w:t>
      </w:r>
      <w:r w:rsidR="00DF1B94">
        <w:rPr>
          <w:lang w:val="en-GB"/>
        </w:rPr>
        <w:t>chart</w:t>
      </w:r>
      <w:r w:rsidR="00013ED5">
        <w:rPr>
          <w:lang w:val="en-GB"/>
        </w:rPr>
        <w:t>s</w:t>
      </w:r>
      <w:r>
        <w:rPr>
          <w:lang w:val="en-GB"/>
        </w:rPr>
        <w:t xml:space="preserve"> attached. </w:t>
      </w:r>
    </w:p>
    <w:p w14:paraId="2372DFB6" w14:textId="0CF8DB42" w:rsidR="00F86579" w:rsidRDefault="00C31E52" w:rsidP="00510A42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We have voted </w:t>
      </w:r>
      <w:r w:rsidR="00E0479D">
        <w:rPr>
          <w:lang w:val="en-GB"/>
        </w:rPr>
        <w:t>all</w:t>
      </w:r>
      <w:r w:rsidR="006B6F57">
        <w:rPr>
          <w:lang w:val="en-GB"/>
        </w:rPr>
        <w:t xml:space="preserve"> our positions - </w:t>
      </w:r>
      <w:r>
        <w:rPr>
          <w:lang w:val="en-GB"/>
        </w:rPr>
        <w:t>2</w:t>
      </w:r>
      <w:r w:rsidR="003D6E17">
        <w:rPr>
          <w:lang w:val="en-GB"/>
        </w:rPr>
        <w:t>8</w:t>
      </w:r>
      <w:r>
        <w:rPr>
          <w:lang w:val="en-GB"/>
        </w:rPr>
        <w:t xml:space="preserve"> </w:t>
      </w:r>
      <w:r w:rsidR="00DB699D">
        <w:rPr>
          <w:lang w:val="en-GB"/>
        </w:rPr>
        <w:t xml:space="preserve">out </w:t>
      </w:r>
      <w:r>
        <w:rPr>
          <w:lang w:val="en-GB"/>
        </w:rPr>
        <w:t>of 2</w:t>
      </w:r>
      <w:r w:rsidR="003D6E17">
        <w:rPr>
          <w:lang w:val="en-GB"/>
        </w:rPr>
        <w:t>8</w:t>
      </w:r>
      <w:r>
        <w:rPr>
          <w:lang w:val="en-GB"/>
        </w:rPr>
        <w:t xml:space="preserve"> </w:t>
      </w:r>
      <w:r w:rsidR="00D70A85">
        <w:rPr>
          <w:lang w:val="en-GB"/>
        </w:rPr>
        <w:t>securities</w:t>
      </w:r>
      <w:r w:rsidR="003D6E17">
        <w:rPr>
          <w:lang w:val="en-GB"/>
        </w:rPr>
        <w:t xml:space="preserve"> where there were votes</w:t>
      </w:r>
      <w:r w:rsidR="00F86579">
        <w:rPr>
          <w:lang w:val="en-GB"/>
        </w:rPr>
        <w:t xml:space="preserve">. </w:t>
      </w:r>
      <w:r w:rsidR="00BA0AAD">
        <w:rPr>
          <w:lang w:val="en-GB"/>
        </w:rPr>
        <w:t>There were a total of 3</w:t>
      </w:r>
      <w:r w:rsidR="003D6E17">
        <w:rPr>
          <w:lang w:val="en-GB"/>
        </w:rPr>
        <w:t>15</w:t>
      </w:r>
      <w:r w:rsidR="00BA0AAD">
        <w:rPr>
          <w:lang w:val="en-GB"/>
        </w:rPr>
        <w:t xml:space="preserve"> </w:t>
      </w:r>
      <w:r w:rsidR="00DB699D">
        <w:rPr>
          <w:lang w:val="en-GB"/>
        </w:rPr>
        <w:t xml:space="preserve">management and shareholder </w:t>
      </w:r>
      <w:r w:rsidR="00BA0AAD">
        <w:rPr>
          <w:lang w:val="en-GB"/>
        </w:rPr>
        <w:t>proposals.</w:t>
      </w:r>
      <w:r w:rsidR="007D0239">
        <w:rPr>
          <w:lang w:val="en-GB"/>
        </w:rPr>
        <w:t xml:space="preserve"> </w:t>
      </w:r>
      <w:r w:rsidR="00CA627A">
        <w:rPr>
          <w:lang w:val="en-GB"/>
        </w:rPr>
        <w:t xml:space="preserve">We </w:t>
      </w:r>
      <w:r w:rsidR="002F2991">
        <w:rPr>
          <w:lang w:val="en-GB"/>
        </w:rPr>
        <w:t>did not support</w:t>
      </w:r>
      <w:r w:rsidR="00CA627A">
        <w:rPr>
          <w:lang w:val="en-GB"/>
        </w:rPr>
        <w:t xml:space="preserve"> management on </w:t>
      </w:r>
      <w:r w:rsidR="003D6E17">
        <w:rPr>
          <w:lang w:val="en-GB"/>
        </w:rPr>
        <w:t>36</w:t>
      </w:r>
      <w:r w:rsidR="00CA627A">
        <w:rPr>
          <w:lang w:val="en-GB"/>
        </w:rPr>
        <w:t xml:space="preserve"> of</w:t>
      </w:r>
      <w:r w:rsidR="00680E1B">
        <w:rPr>
          <w:lang w:val="en-GB"/>
        </w:rPr>
        <w:t xml:space="preserve"> 3</w:t>
      </w:r>
      <w:r w:rsidR="003D6E17">
        <w:rPr>
          <w:lang w:val="en-GB"/>
        </w:rPr>
        <w:t>08</w:t>
      </w:r>
      <w:r w:rsidR="00CA627A">
        <w:rPr>
          <w:lang w:val="en-GB"/>
        </w:rPr>
        <w:t xml:space="preserve"> </w:t>
      </w:r>
      <w:r w:rsidR="006B6F57">
        <w:rPr>
          <w:lang w:val="en-GB"/>
        </w:rPr>
        <w:t xml:space="preserve">management </w:t>
      </w:r>
      <w:r w:rsidR="00CA627A">
        <w:rPr>
          <w:lang w:val="en-GB"/>
        </w:rPr>
        <w:t xml:space="preserve">proposals and supported </w:t>
      </w:r>
      <w:r w:rsidR="003D6E17">
        <w:rPr>
          <w:lang w:val="en-GB"/>
        </w:rPr>
        <w:t>3</w:t>
      </w:r>
      <w:r w:rsidR="00F03655">
        <w:rPr>
          <w:lang w:val="en-GB"/>
        </w:rPr>
        <w:t xml:space="preserve"> of </w:t>
      </w:r>
      <w:r w:rsidR="003D6E17">
        <w:rPr>
          <w:lang w:val="en-GB"/>
        </w:rPr>
        <w:t>7</w:t>
      </w:r>
      <w:r w:rsidR="00F03655">
        <w:rPr>
          <w:lang w:val="en-GB"/>
        </w:rPr>
        <w:t xml:space="preserve"> shareholder proposals</w:t>
      </w:r>
      <w:r w:rsidR="00E878FD">
        <w:rPr>
          <w:lang w:val="en-GB"/>
        </w:rPr>
        <w:t>. In total there were 3</w:t>
      </w:r>
      <w:r w:rsidR="003D6E17">
        <w:rPr>
          <w:lang w:val="en-GB"/>
        </w:rPr>
        <w:t>15</w:t>
      </w:r>
      <w:r w:rsidR="00E878FD">
        <w:rPr>
          <w:lang w:val="en-GB"/>
        </w:rPr>
        <w:t xml:space="preserve"> proposals </w:t>
      </w:r>
      <w:r w:rsidR="00B633DB">
        <w:rPr>
          <w:lang w:val="en-GB"/>
        </w:rPr>
        <w:t>and we voted against 3</w:t>
      </w:r>
      <w:r w:rsidR="003D6E17">
        <w:rPr>
          <w:lang w:val="en-GB"/>
        </w:rPr>
        <w:t>9</w:t>
      </w:r>
      <w:r w:rsidR="00B633DB">
        <w:rPr>
          <w:lang w:val="en-GB"/>
        </w:rPr>
        <w:t xml:space="preserve"> of them. </w:t>
      </w:r>
      <w:r w:rsidR="003D6E17">
        <w:rPr>
          <w:lang w:val="en-GB"/>
        </w:rPr>
        <w:t xml:space="preserve">We </w:t>
      </w:r>
      <w:r w:rsidR="00B633DB">
        <w:rPr>
          <w:lang w:val="en-GB"/>
        </w:rPr>
        <w:t>Abstained on one</w:t>
      </w:r>
      <w:r w:rsidR="003D6E17">
        <w:rPr>
          <w:lang w:val="en-GB"/>
        </w:rPr>
        <w:t xml:space="preserve"> vote which had been withdrawn by the proposer</w:t>
      </w:r>
      <w:r w:rsidR="00B633DB">
        <w:rPr>
          <w:lang w:val="en-GB"/>
        </w:rPr>
        <w:t xml:space="preserve">. </w:t>
      </w:r>
    </w:p>
    <w:p w14:paraId="185C71BD" w14:textId="42001C7D" w:rsidR="006D2B4A" w:rsidRDefault="006D2B4A" w:rsidP="00510A42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Looking explicitly at </w:t>
      </w:r>
      <w:r w:rsidR="00950D1B">
        <w:rPr>
          <w:lang w:val="en-GB"/>
        </w:rPr>
        <w:t>v</w:t>
      </w:r>
      <w:r>
        <w:rPr>
          <w:lang w:val="en-GB"/>
        </w:rPr>
        <w:t>oting against management</w:t>
      </w:r>
      <w:r w:rsidR="00950D1B">
        <w:rPr>
          <w:lang w:val="en-GB"/>
        </w:rPr>
        <w:t>, o</w:t>
      </w:r>
      <w:r>
        <w:rPr>
          <w:lang w:val="en-GB"/>
        </w:rPr>
        <w:t>ur most frequent area of concern that we express through voting is with Board level governance – usually double hatting, and independence of directors.</w:t>
      </w:r>
      <w:r w:rsidR="003D6E17">
        <w:rPr>
          <w:lang w:val="en-GB"/>
        </w:rPr>
        <w:t xml:space="preserve"> This is one area where we are often aligned with other shareholder proposals.</w:t>
      </w:r>
      <w:r>
        <w:rPr>
          <w:lang w:val="en-GB"/>
        </w:rPr>
        <w:t xml:space="preserve"> </w:t>
      </w:r>
      <w:r w:rsidR="003D6E17">
        <w:rPr>
          <w:lang w:val="en-GB"/>
        </w:rPr>
        <w:t xml:space="preserve">M&amp;A </w:t>
      </w:r>
      <w:r>
        <w:rPr>
          <w:lang w:val="en-GB"/>
        </w:rPr>
        <w:t xml:space="preserve">– with poorly specified or unchallenging targets is another area of ongoing frustration. There was only one explicitly environmental vote in which we did not support a poorly conceived shareholder proposal – </w:t>
      </w:r>
      <w:r w:rsidR="001316A9">
        <w:rPr>
          <w:lang w:val="en-GB"/>
        </w:rPr>
        <w:t>in line</w:t>
      </w:r>
      <w:r>
        <w:rPr>
          <w:lang w:val="en-GB"/>
        </w:rPr>
        <w:t xml:space="preserve"> with our proxy advisory recommendation.</w:t>
      </w:r>
    </w:p>
    <w:p w14:paraId="777EE875" w14:textId="4F71AF49" w:rsidR="003D6E17" w:rsidRDefault="003D6E17" w:rsidP="00510A42">
      <w:pPr>
        <w:spacing w:line="240" w:lineRule="auto"/>
        <w:jc w:val="both"/>
        <w:rPr>
          <w:lang w:val="en-GB"/>
        </w:rPr>
      </w:pPr>
      <w:r w:rsidRPr="003D6E17">
        <w:rPr>
          <w:noProof/>
          <w:lang w:val="en-GB"/>
        </w:rPr>
        <w:drawing>
          <wp:inline distT="0" distB="0" distL="0" distR="0" wp14:anchorId="575E5497" wp14:editId="5DEC1CA2">
            <wp:extent cx="576072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661CB" w14:textId="23D79EEC" w:rsidR="002206B0" w:rsidRPr="00C31E52" w:rsidRDefault="002206B0" w:rsidP="00510A42">
      <w:pPr>
        <w:spacing w:line="240" w:lineRule="auto"/>
        <w:jc w:val="both"/>
        <w:rPr>
          <w:lang w:val="en-GB"/>
        </w:rPr>
      </w:pPr>
    </w:p>
    <w:p w14:paraId="7E73B08E" w14:textId="0A8EEBEC" w:rsidR="00B633DB" w:rsidRDefault="00D003AA" w:rsidP="00510A42">
      <w:pPr>
        <w:spacing w:line="240" w:lineRule="auto"/>
        <w:jc w:val="both"/>
        <w:rPr>
          <w:lang w:val="en-GB"/>
        </w:rPr>
      </w:pPr>
      <w:r>
        <w:rPr>
          <w:lang w:val="en-GB"/>
        </w:rPr>
        <w:t>The overwhelming majority of votes are about approval of financial reports and appointment of directors.</w:t>
      </w:r>
      <w:r w:rsidR="007106CA">
        <w:rPr>
          <w:lang w:val="en-GB"/>
        </w:rPr>
        <w:t xml:space="preserve"> The number of expressly </w:t>
      </w:r>
      <w:r w:rsidR="005541F4">
        <w:rPr>
          <w:lang w:val="en-GB"/>
        </w:rPr>
        <w:t xml:space="preserve">Environmental </w:t>
      </w:r>
      <w:r w:rsidR="006D2B4A">
        <w:rPr>
          <w:lang w:val="en-GB"/>
        </w:rPr>
        <w:t>(</w:t>
      </w:r>
      <w:r w:rsidR="003D6E17">
        <w:rPr>
          <w:lang w:val="en-GB"/>
        </w:rPr>
        <w:t>0</w:t>
      </w:r>
      <w:r w:rsidR="006D2B4A">
        <w:rPr>
          <w:lang w:val="en-GB"/>
        </w:rPr>
        <w:t xml:space="preserve">) </w:t>
      </w:r>
      <w:r w:rsidR="005541F4">
        <w:rPr>
          <w:lang w:val="en-GB"/>
        </w:rPr>
        <w:t xml:space="preserve">or Social </w:t>
      </w:r>
      <w:r w:rsidR="006D2B4A">
        <w:rPr>
          <w:lang w:val="en-GB"/>
        </w:rPr>
        <w:t xml:space="preserve">(0) </w:t>
      </w:r>
      <w:r w:rsidR="005541F4">
        <w:rPr>
          <w:lang w:val="en-GB"/>
        </w:rPr>
        <w:t>proposals was very low</w:t>
      </w:r>
      <w:r w:rsidR="003D6E17">
        <w:rPr>
          <w:lang w:val="en-GB"/>
        </w:rPr>
        <w:t>!</w:t>
      </w:r>
      <w:r w:rsidR="005541F4">
        <w:rPr>
          <w:lang w:val="en-GB"/>
        </w:rPr>
        <w:t xml:space="preserve"> </w:t>
      </w:r>
    </w:p>
    <w:p w14:paraId="47015677" w14:textId="1B5184EE" w:rsidR="00DF1B94" w:rsidRDefault="003D6E17" w:rsidP="006C2469">
      <w:pPr>
        <w:spacing w:line="240" w:lineRule="auto"/>
        <w:jc w:val="both"/>
        <w:rPr>
          <w:lang w:val="en-GB"/>
        </w:rPr>
      </w:pPr>
      <w:r w:rsidRPr="003D6E17">
        <w:rPr>
          <w:noProof/>
          <w:lang w:val="en-GB"/>
        </w:rPr>
        <w:lastRenderedPageBreak/>
        <w:drawing>
          <wp:inline distT="0" distB="0" distL="0" distR="0" wp14:anchorId="2A56FB32" wp14:editId="2FE62278">
            <wp:extent cx="5760720" cy="20129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C0A36" w14:textId="7102D69D" w:rsidR="00FE3772" w:rsidRDefault="006C2469" w:rsidP="006C2469">
      <w:pPr>
        <w:spacing w:line="240" w:lineRule="auto"/>
        <w:jc w:val="both"/>
        <w:rPr>
          <w:lang w:val="en-GB"/>
        </w:rPr>
      </w:pPr>
      <w:r w:rsidRPr="006C2469">
        <w:rPr>
          <w:noProof/>
          <w:lang w:val="en-GB"/>
        </w:rPr>
        <w:drawing>
          <wp:inline distT="0" distB="0" distL="0" distR="0" wp14:anchorId="30BC26B2" wp14:editId="0ABE3567">
            <wp:extent cx="5760720" cy="2849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F682" w14:textId="4CD77CF9" w:rsidR="006C2469" w:rsidRDefault="006C2469" w:rsidP="006C2469">
      <w:pPr>
        <w:spacing w:line="240" w:lineRule="auto"/>
        <w:jc w:val="both"/>
        <w:rPr>
          <w:lang w:val="en-GB"/>
        </w:rPr>
      </w:pPr>
      <w:r w:rsidRPr="006C2469">
        <w:rPr>
          <w:noProof/>
          <w:lang w:val="en-GB"/>
        </w:rPr>
        <w:drawing>
          <wp:inline distT="0" distB="0" distL="0" distR="0" wp14:anchorId="01E2480F" wp14:editId="58393FD1">
            <wp:extent cx="5760720" cy="28378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F177E" w14:textId="35622CB5" w:rsidR="00B633DB" w:rsidRDefault="00B633DB" w:rsidP="00510A42">
      <w:pPr>
        <w:spacing w:line="240" w:lineRule="auto"/>
        <w:jc w:val="both"/>
        <w:rPr>
          <w:lang w:val="en-GB"/>
        </w:rPr>
      </w:pPr>
    </w:p>
    <w:p w14:paraId="2D0731B6" w14:textId="77777777" w:rsidR="00D179A9" w:rsidRPr="001F529E" w:rsidRDefault="00D179A9" w:rsidP="00D179A9">
      <w:pPr>
        <w:pStyle w:val="ListParagraph"/>
        <w:numPr>
          <w:ilvl w:val="0"/>
          <w:numId w:val="2"/>
        </w:numPr>
        <w:spacing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Involvement of</w:t>
      </w:r>
      <w:r w:rsidRPr="00F56C4A">
        <w:rPr>
          <w:b/>
          <w:bCs/>
          <w:lang w:val="en-GB"/>
        </w:rPr>
        <w:t xml:space="preserve"> the fund management team in the decision how to vote</w:t>
      </w:r>
      <w:r>
        <w:rPr>
          <w:b/>
          <w:bCs/>
          <w:lang w:val="en-GB"/>
        </w:rPr>
        <w:t>.</w:t>
      </w:r>
    </w:p>
    <w:p w14:paraId="4FB39788" w14:textId="32EBE057" w:rsidR="00747923" w:rsidRDefault="00AF7719" w:rsidP="00C957CA">
      <w:pPr>
        <w:spacing w:line="240" w:lineRule="auto"/>
        <w:jc w:val="both"/>
        <w:rPr>
          <w:lang w:val="en-GB"/>
        </w:rPr>
      </w:pPr>
      <w:r>
        <w:rPr>
          <w:lang w:val="en-GB"/>
        </w:rPr>
        <w:t>The votes are always decided by the fund management team on an individual case by case basis</w:t>
      </w:r>
      <w:r w:rsidR="00BD28F0">
        <w:rPr>
          <w:lang w:val="en-GB"/>
        </w:rPr>
        <w:t xml:space="preserve"> </w:t>
      </w:r>
      <w:r w:rsidR="001316A9">
        <w:rPr>
          <w:lang w:val="en-GB"/>
        </w:rPr>
        <w:t>in line</w:t>
      </w:r>
      <w:r w:rsidR="00BD28F0">
        <w:rPr>
          <w:lang w:val="en-GB"/>
        </w:rPr>
        <w:t xml:space="preserve"> with our voting principles</w:t>
      </w:r>
      <w:r>
        <w:rPr>
          <w:lang w:val="en-GB"/>
        </w:rPr>
        <w:t xml:space="preserve">. </w:t>
      </w:r>
      <w:r w:rsidR="00AB77A2">
        <w:rPr>
          <w:lang w:val="en-GB"/>
        </w:rPr>
        <w:t xml:space="preserve">We voted against the recommendation of our Proxy Company </w:t>
      </w:r>
      <w:r w:rsidR="006C2469">
        <w:rPr>
          <w:lang w:val="en-GB"/>
        </w:rPr>
        <w:t>12</w:t>
      </w:r>
      <w:r w:rsidR="00AB77A2">
        <w:rPr>
          <w:lang w:val="en-GB"/>
        </w:rPr>
        <w:t xml:space="preserve"> times</w:t>
      </w:r>
      <w:r w:rsidR="000B3DDE">
        <w:rPr>
          <w:lang w:val="en-GB"/>
        </w:rPr>
        <w:t xml:space="preserve">. </w:t>
      </w:r>
      <w:r w:rsidR="006C2469">
        <w:rPr>
          <w:lang w:val="en-GB"/>
        </w:rPr>
        <w:t>11</w:t>
      </w:r>
      <w:r w:rsidR="0081319B">
        <w:rPr>
          <w:lang w:val="en-GB"/>
        </w:rPr>
        <w:t xml:space="preserve"> </w:t>
      </w:r>
      <w:r w:rsidR="0081319B">
        <w:rPr>
          <w:lang w:val="en-GB"/>
        </w:rPr>
        <w:lastRenderedPageBreak/>
        <w:t xml:space="preserve">of these relate to the board and </w:t>
      </w:r>
      <w:r w:rsidR="006C2469">
        <w:rPr>
          <w:lang w:val="en-GB"/>
        </w:rPr>
        <w:t>1</w:t>
      </w:r>
      <w:r w:rsidR="0081319B">
        <w:rPr>
          <w:lang w:val="en-GB"/>
        </w:rPr>
        <w:t xml:space="preserve"> to Governance. </w:t>
      </w:r>
      <w:r w:rsidR="00BB390B">
        <w:rPr>
          <w:lang w:val="en-GB"/>
        </w:rPr>
        <w:t xml:space="preserve">Often their </w:t>
      </w:r>
      <w:r w:rsidR="00BD28F0">
        <w:rPr>
          <w:lang w:val="en-GB"/>
        </w:rPr>
        <w:t>rules-based</w:t>
      </w:r>
      <w:r w:rsidR="00BB390B">
        <w:rPr>
          <w:lang w:val="en-GB"/>
        </w:rPr>
        <w:t xml:space="preserve"> systems neglect the spec</w:t>
      </w:r>
      <w:r w:rsidR="00414143">
        <w:rPr>
          <w:lang w:val="en-GB"/>
        </w:rPr>
        <w:t>ific</w:t>
      </w:r>
      <w:r w:rsidR="00BB390B">
        <w:rPr>
          <w:lang w:val="en-GB"/>
        </w:rPr>
        <w:t xml:space="preserve">s of the situation – or where we feel continued constructive engagement </w:t>
      </w:r>
      <w:r w:rsidR="00F00331">
        <w:rPr>
          <w:lang w:val="en-GB"/>
        </w:rPr>
        <w:t>by supporting management could be more effective.</w:t>
      </w:r>
      <w:r w:rsidR="00715F66">
        <w:rPr>
          <w:lang w:val="en-GB"/>
        </w:rPr>
        <w:t xml:space="preserve"> In </w:t>
      </w:r>
      <w:r w:rsidR="00BD28F0">
        <w:rPr>
          <w:lang w:val="en-GB"/>
        </w:rPr>
        <w:t>general,</w:t>
      </w:r>
      <w:r w:rsidR="00715F66">
        <w:rPr>
          <w:lang w:val="en-GB"/>
        </w:rPr>
        <w:t xml:space="preserve"> we do not disagree with their principles but rather the application. </w:t>
      </w:r>
    </w:p>
    <w:p w14:paraId="34C70242" w14:textId="39AAD36D" w:rsidR="003845D2" w:rsidRPr="00C23C76" w:rsidRDefault="006C2469" w:rsidP="00C23C76">
      <w:pPr>
        <w:spacing w:line="240" w:lineRule="auto"/>
        <w:jc w:val="both"/>
        <w:rPr>
          <w:lang w:val="en-GB"/>
        </w:rPr>
      </w:pPr>
      <w:r w:rsidRPr="006C2469">
        <w:rPr>
          <w:noProof/>
          <w:lang w:val="en-GB"/>
        </w:rPr>
        <w:drawing>
          <wp:inline distT="0" distB="0" distL="0" distR="0" wp14:anchorId="61EBEE58" wp14:editId="45FE6C4E">
            <wp:extent cx="5760720" cy="17100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71018" w14:textId="77777777" w:rsidR="00C23C76" w:rsidRDefault="00C23C76" w:rsidP="00C23C76">
      <w:pPr>
        <w:spacing w:line="240" w:lineRule="auto"/>
        <w:jc w:val="both"/>
        <w:rPr>
          <w:lang w:val="en-GB"/>
        </w:rPr>
      </w:pPr>
    </w:p>
    <w:p w14:paraId="2E7B56DD" w14:textId="77777777" w:rsidR="003845D2" w:rsidRDefault="00FC1EB7" w:rsidP="00510A4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ESG TRANSPARENCY, ANALYSIS AND ENGAGEMENT </w:t>
      </w:r>
    </w:p>
    <w:p w14:paraId="6FA62675" w14:textId="24A18771" w:rsidR="003845D2" w:rsidRDefault="003845D2" w:rsidP="00510A42">
      <w:pPr>
        <w:pStyle w:val="ListParagraph"/>
        <w:jc w:val="both"/>
        <w:rPr>
          <w:lang w:val="en-GB"/>
        </w:rPr>
      </w:pPr>
    </w:p>
    <w:p w14:paraId="455D408F" w14:textId="6A00B496" w:rsidR="00D770D4" w:rsidRDefault="009C5DDC" w:rsidP="00E66FB3">
      <w:pPr>
        <w:pStyle w:val="ListParagraph"/>
        <w:ind w:left="0"/>
        <w:jc w:val="both"/>
        <w:rPr>
          <w:lang w:val="en-GB"/>
        </w:rPr>
      </w:pPr>
      <w:r>
        <w:rPr>
          <w:lang w:val="en-GB"/>
        </w:rPr>
        <w:t>The nature of our focus on very undervalued</w:t>
      </w:r>
      <w:r w:rsidR="00913F1E">
        <w:rPr>
          <w:lang w:val="en-GB"/>
        </w:rPr>
        <w:t xml:space="preserve">, under researched </w:t>
      </w:r>
      <w:r w:rsidR="00D770D4">
        <w:rPr>
          <w:lang w:val="en-GB"/>
        </w:rPr>
        <w:t>companies</w:t>
      </w:r>
      <w:r w:rsidR="00EA08EC">
        <w:rPr>
          <w:lang w:val="en-GB"/>
        </w:rPr>
        <w:t xml:space="preserve">, it </w:t>
      </w:r>
      <w:r w:rsidR="00913F1E">
        <w:rPr>
          <w:lang w:val="en-GB"/>
        </w:rPr>
        <w:t>usual</w:t>
      </w:r>
      <w:r w:rsidR="00EA08EC">
        <w:rPr>
          <w:lang w:val="en-GB"/>
        </w:rPr>
        <w:t>ly</w:t>
      </w:r>
      <w:r w:rsidR="00913F1E">
        <w:rPr>
          <w:lang w:val="en-GB"/>
        </w:rPr>
        <w:t xml:space="preserve"> means that engagement of some kind is required to help unlock the value that we see. </w:t>
      </w:r>
      <w:r w:rsidR="00D770D4">
        <w:rPr>
          <w:lang w:val="en-GB"/>
        </w:rPr>
        <w:t>Consequently,</w:t>
      </w:r>
      <w:r w:rsidR="00913F1E">
        <w:rPr>
          <w:lang w:val="en-GB"/>
        </w:rPr>
        <w:t xml:space="preserve"> a very high </w:t>
      </w:r>
      <w:r w:rsidR="00D770D4">
        <w:rPr>
          <w:lang w:val="en-GB"/>
        </w:rPr>
        <w:t>percentage</w:t>
      </w:r>
      <w:r w:rsidR="00913F1E">
        <w:rPr>
          <w:lang w:val="en-GB"/>
        </w:rPr>
        <w:t xml:space="preserve"> of our portfolio </w:t>
      </w:r>
      <w:r w:rsidR="00D770D4">
        <w:rPr>
          <w:lang w:val="en-GB"/>
        </w:rPr>
        <w:t xml:space="preserve">is subject to engagement on governance, operational performance, and sustainability (ESG). </w:t>
      </w:r>
      <w:r w:rsidR="00D303C2">
        <w:rPr>
          <w:lang w:val="en-GB"/>
        </w:rPr>
        <w:t>The ongoing revolution in Corporate Governance in Japan is coincidental with the global focus on Sustainability. Frequently</w:t>
      </w:r>
      <w:r w:rsidR="00ED0CBF">
        <w:rPr>
          <w:lang w:val="en-GB"/>
        </w:rPr>
        <w:t>,</w:t>
      </w:r>
      <w:r w:rsidR="00D303C2">
        <w:rPr>
          <w:lang w:val="en-GB"/>
        </w:rPr>
        <w:t xml:space="preserve"> these go hand in hand. </w:t>
      </w:r>
      <w:r w:rsidR="003165FE">
        <w:rPr>
          <w:lang w:val="en-GB"/>
        </w:rPr>
        <w:t>Without go</w:t>
      </w:r>
      <w:r w:rsidR="00160E1A">
        <w:rPr>
          <w:lang w:val="en-GB"/>
        </w:rPr>
        <w:t>od governance we do not believe that a company can ever be sustainable</w:t>
      </w:r>
      <w:r w:rsidR="00BD28F1">
        <w:rPr>
          <w:lang w:val="en-GB"/>
        </w:rPr>
        <w:t>,</w:t>
      </w:r>
      <w:r w:rsidR="007F719D">
        <w:rPr>
          <w:lang w:val="en-GB"/>
        </w:rPr>
        <w:t xml:space="preserve"> so this remains a critical focus for us</w:t>
      </w:r>
      <w:r w:rsidR="00160E1A">
        <w:rPr>
          <w:lang w:val="en-GB"/>
        </w:rPr>
        <w:t xml:space="preserve">. </w:t>
      </w:r>
      <w:r w:rsidR="007166EA">
        <w:rPr>
          <w:lang w:val="en-GB"/>
        </w:rPr>
        <w:t>One of our key objectives is to work with management teams and to help them think and act like owners of the busi</w:t>
      </w:r>
      <w:r w:rsidR="00A02A30">
        <w:rPr>
          <w:lang w:val="en-GB"/>
        </w:rPr>
        <w:t>ness – oriented towards long run, per share value creation</w:t>
      </w:r>
      <w:r w:rsidR="00146203">
        <w:rPr>
          <w:lang w:val="en-GB"/>
        </w:rPr>
        <w:t xml:space="preserve"> – </w:t>
      </w:r>
      <w:r w:rsidR="00A45756">
        <w:rPr>
          <w:lang w:val="en-GB"/>
        </w:rPr>
        <w:t>fo</w:t>
      </w:r>
      <w:r w:rsidR="002F6BDE">
        <w:rPr>
          <w:lang w:val="en-GB"/>
        </w:rPr>
        <w:t>r</w:t>
      </w:r>
      <w:r w:rsidR="00A45756">
        <w:rPr>
          <w:lang w:val="en-GB"/>
        </w:rPr>
        <w:t xml:space="preserve"> us this is </w:t>
      </w:r>
      <w:r w:rsidR="00A70D47">
        <w:rPr>
          <w:lang w:val="en-GB"/>
        </w:rPr>
        <w:t>consistent</w:t>
      </w:r>
      <w:r w:rsidR="00A45756">
        <w:rPr>
          <w:lang w:val="en-GB"/>
        </w:rPr>
        <w:t xml:space="preserve"> with good </w:t>
      </w:r>
      <w:r w:rsidR="0009765D">
        <w:rPr>
          <w:lang w:val="en-GB"/>
        </w:rPr>
        <w:t>Sustainability</w:t>
      </w:r>
      <w:r w:rsidR="00A02A30">
        <w:rPr>
          <w:lang w:val="en-GB"/>
        </w:rPr>
        <w:t>.</w:t>
      </w:r>
      <w:r w:rsidR="002B1739">
        <w:rPr>
          <w:lang w:val="en-GB"/>
        </w:rPr>
        <w:t xml:space="preserve"> We keep track of these </w:t>
      </w:r>
      <w:r w:rsidR="00B41A25">
        <w:rPr>
          <w:lang w:val="en-GB"/>
        </w:rPr>
        <w:t>activities</w:t>
      </w:r>
      <w:r w:rsidR="002B1739">
        <w:rPr>
          <w:lang w:val="en-GB"/>
        </w:rPr>
        <w:t xml:space="preserve"> </w:t>
      </w:r>
      <w:r w:rsidR="00B41A25">
        <w:rPr>
          <w:lang w:val="en-GB"/>
        </w:rPr>
        <w:t>in our Engagement Tracker.</w:t>
      </w:r>
      <w:r w:rsidR="00C870F9">
        <w:rPr>
          <w:lang w:val="en-GB"/>
        </w:rPr>
        <w:t xml:space="preserve"> </w:t>
      </w:r>
    </w:p>
    <w:p w14:paraId="381CE058" w14:textId="77777777" w:rsidR="001B1828" w:rsidRDefault="001B1828" w:rsidP="00E66FB3">
      <w:pPr>
        <w:pStyle w:val="ListParagraph"/>
        <w:ind w:left="0"/>
        <w:jc w:val="both"/>
        <w:rPr>
          <w:lang w:val="en-GB"/>
        </w:rPr>
      </w:pPr>
    </w:p>
    <w:p w14:paraId="6D5A9A7F" w14:textId="7E11005E" w:rsidR="00570CBA" w:rsidRDefault="001B1828" w:rsidP="00884A19">
      <w:pPr>
        <w:pStyle w:val="ListParagraph"/>
        <w:ind w:left="0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6D4819CC" wp14:editId="38D5CDFF">
            <wp:extent cx="457200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5DF690A2-29E8-4CDA-AA23-3D67A16310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0309148" w14:textId="77777777" w:rsidR="005E31D6" w:rsidRDefault="005E31D6" w:rsidP="00E66FB3">
      <w:pPr>
        <w:pStyle w:val="ListParagraph"/>
        <w:ind w:left="0"/>
        <w:jc w:val="both"/>
        <w:rPr>
          <w:lang w:val="en-GB"/>
        </w:rPr>
      </w:pPr>
    </w:p>
    <w:p w14:paraId="1D12F160" w14:textId="58758236" w:rsidR="00D770D4" w:rsidRDefault="00D770D4" w:rsidP="00510A42">
      <w:pPr>
        <w:pStyle w:val="ListParagraph"/>
        <w:jc w:val="both"/>
        <w:rPr>
          <w:lang w:val="en-GB"/>
        </w:rPr>
      </w:pPr>
    </w:p>
    <w:p w14:paraId="38C6CD7C" w14:textId="77777777" w:rsidR="00FE57A2" w:rsidRDefault="00FE57A2" w:rsidP="00E66FB3">
      <w:pPr>
        <w:pStyle w:val="ListParagraph"/>
        <w:ind w:left="0"/>
        <w:jc w:val="both"/>
        <w:rPr>
          <w:lang w:val="en-GB"/>
        </w:rPr>
      </w:pPr>
    </w:p>
    <w:p w14:paraId="6DC510F8" w14:textId="240FBEDA" w:rsidR="00FE57A2" w:rsidRDefault="00FE57A2" w:rsidP="00E66FB3">
      <w:pPr>
        <w:pStyle w:val="ListParagraph"/>
        <w:ind w:left="0"/>
        <w:jc w:val="both"/>
        <w:rPr>
          <w:lang w:val="en-GB"/>
        </w:rPr>
      </w:pPr>
      <w:r>
        <w:rPr>
          <w:lang w:val="en-GB"/>
        </w:rPr>
        <w:t>This chart shows the breakdown by primary engagement focus</w:t>
      </w:r>
      <w:r w:rsidR="004748EE">
        <w:rPr>
          <w:lang w:val="en-GB"/>
        </w:rPr>
        <w:t xml:space="preserve"> for each meeting. </w:t>
      </w:r>
      <w:r w:rsidR="00A8286D">
        <w:rPr>
          <w:lang w:val="en-GB"/>
        </w:rPr>
        <w:t xml:space="preserve">Strategy is an operating focus; </w:t>
      </w:r>
      <w:r w:rsidR="00D4736F">
        <w:rPr>
          <w:lang w:val="en-GB"/>
        </w:rPr>
        <w:t xml:space="preserve">whilst </w:t>
      </w:r>
      <w:r w:rsidR="00A8286D">
        <w:rPr>
          <w:lang w:val="en-GB"/>
        </w:rPr>
        <w:t>Governance captures Board activity</w:t>
      </w:r>
      <w:r w:rsidR="00000B40">
        <w:rPr>
          <w:lang w:val="en-GB"/>
        </w:rPr>
        <w:t xml:space="preserve">, corporate </w:t>
      </w:r>
      <w:r w:rsidR="00D4736F">
        <w:rPr>
          <w:lang w:val="en-GB"/>
        </w:rPr>
        <w:t>culture,</w:t>
      </w:r>
      <w:r w:rsidR="00A8286D">
        <w:rPr>
          <w:lang w:val="en-GB"/>
        </w:rPr>
        <w:t xml:space="preserve"> and balance sheet reform</w:t>
      </w:r>
      <w:r w:rsidR="00D4736F">
        <w:rPr>
          <w:lang w:val="en-GB"/>
        </w:rPr>
        <w:t>;</w:t>
      </w:r>
      <w:r w:rsidR="00944E68">
        <w:rPr>
          <w:lang w:val="en-GB"/>
        </w:rPr>
        <w:t xml:space="preserve"> Environmental is more than just carbon focused but this is a</w:t>
      </w:r>
      <w:r w:rsidR="00D4736F">
        <w:rPr>
          <w:lang w:val="en-GB"/>
        </w:rPr>
        <w:t xml:space="preserve"> focus</w:t>
      </w:r>
      <w:r w:rsidR="00944E68">
        <w:rPr>
          <w:lang w:val="en-GB"/>
        </w:rPr>
        <w:t xml:space="preserve"> area of interaction with companies</w:t>
      </w:r>
      <w:r w:rsidR="00282866">
        <w:rPr>
          <w:lang w:val="en-GB"/>
        </w:rPr>
        <w:t xml:space="preserve"> for us</w:t>
      </w:r>
      <w:r w:rsidR="00944E68">
        <w:rPr>
          <w:lang w:val="en-GB"/>
        </w:rPr>
        <w:t xml:space="preserve">. </w:t>
      </w:r>
    </w:p>
    <w:p w14:paraId="08904488" w14:textId="77777777" w:rsidR="00FE57A2" w:rsidRDefault="00FE57A2" w:rsidP="00E66FB3">
      <w:pPr>
        <w:pStyle w:val="ListParagraph"/>
        <w:ind w:left="0"/>
        <w:jc w:val="both"/>
        <w:rPr>
          <w:lang w:val="en-GB"/>
        </w:rPr>
      </w:pPr>
    </w:p>
    <w:p w14:paraId="63D5B431" w14:textId="3583905A" w:rsidR="0061660F" w:rsidRDefault="0061660F" w:rsidP="00E66FB3">
      <w:pPr>
        <w:pStyle w:val="ListParagraph"/>
        <w:ind w:left="0"/>
        <w:jc w:val="both"/>
        <w:rPr>
          <w:lang w:val="en-GB"/>
        </w:rPr>
      </w:pPr>
      <w:r>
        <w:rPr>
          <w:lang w:val="en-GB"/>
        </w:rPr>
        <w:t xml:space="preserve">Zennor has had </w:t>
      </w:r>
      <w:r w:rsidR="00C96792">
        <w:rPr>
          <w:lang w:val="en-GB"/>
        </w:rPr>
        <w:t xml:space="preserve">circa </w:t>
      </w:r>
      <w:r w:rsidR="001B1828">
        <w:rPr>
          <w:lang w:val="en-GB"/>
        </w:rPr>
        <w:t>74</w:t>
      </w:r>
      <w:r>
        <w:rPr>
          <w:lang w:val="en-GB"/>
        </w:rPr>
        <w:t xml:space="preserve"> contacts </w:t>
      </w:r>
      <w:r w:rsidR="006941C3">
        <w:rPr>
          <w:lang w:val="en-GB"/>
        </w:rPr>
        <w:t>regarding</w:t>
      </w:r>
      <w:r>
        <w:rPr>
          <w:lang w:val="en-GB"/>
        </w:rPr>
        <w:t xml:space="preserve"> investments or potential investments</w:t>
      </w:r>
      <w:r w:rsidR="000F317A">
        <w:rPr>
          <w:lang w:val="en-GB"/>
        </w:rPr>
        <w:t xml:space="preserve"> over the period under review. </w:t>
      </w:r>
      <w:r w:rsidR="00A31BA2">
        <w:rPr>
          <w:lang w:val="en-GB"/>
        </w:rPr>
        <w:t>We have had calls and contacts with companies beyond this that are not rated as bein</w:t>
      </w:r>
      <w:r w:rsidR="00E81449">
        <w:rPr>
          <w:lang w:val="en-GB"/>
        </w:rPr>
        <w:t xml:space="preserve">g </w:t>
      </w:r>
      <w:r w:rsidR="00A31BA2">
        <w:rPr>
          <w:lang w:val="en-GB"/>
        </w:rPr>
        <w:t xml:space="preserve">specifically targeted </w:t>
      </w:r>
      <w:r w:rsidR="00C96792">
        <w:rPr>
          <w:lang w:val="en-GB"/>
        </w:rPr>
        <w:t>‘</w:t>
      </w:r>
      <w:r w:rsidR="00A31BA2">
        <w:rPr>
          <w:lang w:val="en-GB"/>
        </w:rPr>
        <w:t>engagement</w:t>
      </w:r>
      <w:r w:rsidR="00943020">
        <w:rPr>
          <w:lang w:val="en-GB"/>
        </w:rPr>
        <w:t>s</w:t>
      </w:r>
      <w:r w:rsidR="00C96792">
        <w:rPr>
          <w:lang w:val="en-GB"/>
        </w:rPr>
        <w:t>’</w:t>
      </w:r>
      <w:r w:rsidR="00943020">
        <w:rPr>
          <w:lang w:val="en-GB"/>
        </w:rPr>
        <w:t xml:space="preserve"> </w:t>
      </w:r>
      <w:r w:rsidR="00C96792">
        <w:rPr>
          <w:lang w:val="en-GB"/>
        </w:rPr>
        <w:t xml:space="preserve">but </w:t>
      </w:r>
      <w:r w:rsidR="00943020">
        <w:rPr>
          <w:lang w:val="en-GB"/>
        </w:rPr>
        <w:t>where</w:t>
      </w:r>
      <w:r w:rsidR="00E81449">
        <w:rPr>
          <w:lang w:val="en-GB"/>
        </w:rPr>
        <w:t xml:space="preserve"> </w:t>
      </w:r>
      <w:r w:rsidR="00C96792">
        <w:rPr>
          <w:lang w:val="en-GB"/>
        </w:rPr>
        <w:t xml:space="preserve">we </w:t>
      </w:r>
      <w:r w:rsidR="00E81449">
        <w:rPr>
          <w:lang w:val="en-GB"/>
        </w:rPr>
        <w:t>also look at Sustainability in those meetings</w:t>
      </w:r>
      <w:r w:rsidR="00BE2986">
        <w:rPr>
          <w:lang w:val="en-GB"/>
        </w:rPr>
        <w:t xml:space="preserve">. We do not </w:t>
      </w:r>
      <w:r w:rsidR="006941C3">
        <w:rPr>
          <w:lang w:val="en-GB"/>
        </w:rPr>
        <w:t xml:space="preserve">usually </w:t>
      </w:r>
      <w:r w:rsidR="00BE2986">
        <w:rPr>
          <w:lang w:val="en-GB"/>
        </w:rPr>
        <w:t xml:space="preserve">record contact with analysts as engagements although this can </w:t>
      </w:r>
      <w:r w:rsidR="008F5295">
        <w:rPr>
          <w:lang w:val="en-GB"/>
        </w:rPr>
        <w:t>sometimes</w:t>
      </w:r>
      <w:r w:rsidR="00BE2986">
        <w:rPr>
          <w:lang w:val="en-GB"/>
        </w:rPr>
        <w:t xml:space="preserve"> be a ‘back channel’ to companies and a way of </w:t>
      </w:r>
      <w:r w:rsidR="006941C3">
        <w:rPr>
          <w:lang w:val="en-GB"/>
        </w:rPr>
        <w:t xml:space="preserve">understanding other investor concerns. </w:t>
      </w:r>
      <w:r w:rsidR="00E81449">
        <w:rPr>
          <w:lang w:val="en-GB"/>
        </w:rPr>
        <w:t xml:space="preserve">  </w:t>
      </w:r>
    </w:p>
    <w:p w14:paraId="15F5AC10" w14:textId="0CD6A94C" w:rsidR="006C2469" w:rsidRDefault="006C2469" w:rsidP="00E66FB3">
      <w:pPr>
        <w:pStyle w:val="ListParagraph"/>
        <w:ind w:left="0"/>
        <w:jc w:val="both"/>
        <w:rPr>
          <w:lang w:val="en-GB"/>
        </w:rPr>
      </w:pPr>
    </w:p>
    <w:p w14:paraId="22298707" w14:textId="49D83D89" w:rsidR="006C2469" w:rsidRDefault="006C2469" w:rsidP="00E66FB3">
      <w:pPr>
        <w:pStyle w:val="ListParagraph"/>
        <w:ind w:left="0"/>
        <w:jc w:val="both"/>
        <w:rPr>
          <w:lang w:val="en-GB"/>
        </w:rPr>
      </w:pPr>
      <w:r>
        <w:rPr>
          <w:lang w:val="en-GB"/>
        </w:rPr>
        <w:t xml:space="preserve">We have been very engaged with several stocks where governance remains a challenge notably Toshiba and Fujitec. </w:t>
      </w:r>
      <w:r w:rsidR="00E10505">
        <w:rPr>
          <w:lang w:val="en-GB"/>
        </w:rPr>
        <w:t xml:space="preserve">In Toshiba’s case the management team has allowed several private equity firms interested </w:t>
      </w:r>
      <w:r w:rsidR="009A66AA">
        <w:rPr>
          <w:lang w:val="en-GB"/>
        </w:rPr>
        <w:t>in</w:t>
      </w:r>
      <w:r w:rsidR="00E10505">
        <w:rPr>
          <w:lang w:val="en-GB"/>
        </w:rPr>
        <w:t xml:space="preserve"> a take private deal detailed access to their books</w:t>
      </w:r>
      <w:r w:rsidR="009A66AA">
        <w:rPr>
          <w:lang w:val="en-GB"/>
        </w:rPr>
        <w:t xml:space="preserve">. These 4 groups are expected to make </w:t>
      </w:r>
      <w:r w:rsidR="005C1199">
        <w:rPr>
          <w:lang w:val="en-GB"/>
        </w:rPr>
        <w:t>their proposals</w:t>
      </w:r>
      <w:r w:rsidR="009A66AA">
        <w:rPr>
          <w:lang w:val="en-GB"/>
        </w:rPr>
        <w:t xml:space="preserve"> – if any this autumn. </w:t>
      </w:r>
      <w:r w:rsidR="005C1199">
        <w:rPr>
          <w:lang w:val="en-GB"/>
        </w:rPr>
        <w:t>This is the result of concerted engagement by investors with th</w:t>
      </w:r>
      <w:r w:rsidR="006D113C">
        <w:rPr>
          <w:lang w:val="en-GB"/>
        </w:rPr>
        <w:t>e</w:t>
      </w:r>
      <w:r w:rsidR="005C1199">
        <w:rPr>
          <w:lang w:val="en-GB"/>
        </w:rPr>
        <w:t xml:space="preserve"> company and the board</w:t>
      </w:r>
      <w:r w:rsidR="006D113C">
        <w:rPr>
          <w:lang w:val="en-GB"/>
        </w:rPr>
        <w:t xml:space="preserve"> – ironically it is shareholders who feel that the company is being too short term.</w:t>
      </w:r>
      <w:r w:rsidR="00697583">
        <w:rPr>
          <w:lang w:val="en-GB"/>
        </w:rPr>
        <w:t xml:space="preserve"> </w:t>
      </w:r>
      <w:r w:rsidR="00D92932">
        <w:rPr>
          <w:lang w:val="en-GB"/>
        </w:rPr>
        <w:t>Secondly</w:t>
      </w:r>
      <w:r w:rsidR="003C4CF0">
        <w:rPr>
          <w:lang w:val="en-GB"/>
        </w:rPr>
        <w:t>,</w:t>
      </w:r>
      <w:r w:rsidR="00697583">
        <w:rPr>
          <w:lang w:val="en-GB"/>
        </w:rPr>
        <w:t xml:space="preserve"> we have engaged with Fujitec. This culminated in the founding family member CEO deciding (at the last minute) not to stand for re</w:t>
      </w:r>
      <w:r w:rsidR="00D92932">
        <w:rPr>
          <w:lang w:val="en-GB"/>
        </w:rPr>
        <w:t>-</w:t>
      </w:r>
      <w:r w:rsidR="00697583">
        <w:rPr>
          <w:lang w:val="en-GB"/>
        </w:rPr>
        <w:t xml:space="preserve">election </w:t>
      </w:r>
      <w:r w:rsidR="00D92932">
        <w:rPr>
          <w:lang w:val="en-GB"/>
        </w:rPr>
        <w:t>t</w:t>
      </w:r>
      <w:r w:rsidR="00697583">
        <w:rPr>
          <w:lang w:val="en-GB"/>
        </w:rPr>
        <w:t>o the board</w:t>
      </w:r>
      <w:r w:rsidR="00D92932">
        <w:rPr>
          <w:lang w:val="en-GB"/>
        </w:rPr>
        <w:t>. The new board then appointed him non-executive</w:t>
      </w:r>
      <w:r w:rsidR="00E02D0A">
        <w:rPr>
          <w:lang w:val="en-GB"/>
        </w:rPr>
        <w:t xml:space="preserve">, non-board member </w:t>
      </w:r>
      <w:r w:rsidR="00D92932">
        <w:rPr>
          <w:lang w:val="en-GB"/>
        </w:rPr>
        <w:t>Chairman</w:t>
      </w:r>
      <w:r w:rsidR="00E02D0A">
        <w:rPr>
          <w:lang w:val="en-GB"/>
        </w:rPr>
        <w:t xml:space="preserve"> of the company</w:t>
      </w:r>
      <w:r w:rsidR="00697583">
        <w:rPr>
          <w:lang w:val="en-GB"/>
        </w:rPr>
        <w:t xml:space="preserve">. </w:t>
      </w:r>
      <w:r w:rsidR="00E02D0A">
        <w:rPr>
          <w:lang w:val="en-GB"/>
        </w:rPr>
        <w:t>Clearly</w:t>
      </w:r>
      <w:r w:rsidR="00D92932">
        <w:rPr>
          <w:lang w:val="en-GB"/>
        </w:rPr>
        <w:t xml:space="preserve"> much</w:t>
      </w:r>
      <w:r w:rsidR="00B51E6D">
        <w:rPr>
          <w:lang w:val="en-GB"/>
        </w:rPr>
        <w:t xml:space="preserve"> more work needs to be done</w:t>
      </w:r>
      <w:r w:rsidR="00D92932">
        <w:rPr>
          <w:lang w:val="en-GB"/>
        </w:rPr>
        <w:t xml:space="preserve"> to realise the value </w:t>
      </w:r>
      <w:r w:rsidR="00176696">
        <w:rPr>
          <w:lang w:val="en-GB"/>
        </w:rPr>
        <w:t xml:space="preserve">and reform the culture </w:t>
      </w:r>
      <w:r w:rsidR="00D92932">
        <w:rPr>
          <w:lang w:val="en-GB"/>
        </w:rPr>
        <w:t>inside the company</w:t>
      </w:r>
      <w:r w:rsidR="00B51E6D">
        <w:rPr>
          <w:lang w:val="en-GB"/>
        </w:rPr>
        <w:t xml:space="preserve">. </w:t>
      </w:r>
      <w:r w:rsidR="00E02D0A">
        <w:rPr>
          <w:lang w:val="en-GB"/>
        </w:rPr>
        <w:t xml:space="preserve">This is what we really mean when we talk about governance. In Japan the question of </w:t>
      </w:r>
      <w:r w:rsidR="00851E0D">
        <w:rPr>
          <w:lang w:val="en-GB"/>
        </w:rPr>
        <w:t xml:space="preserve">in </w:t>
      </w:r>
      <w:r w:rsidR="00E02D0A">
        <w:rPr>
          <w:lang w:val="en-GB"/>
        </w:rPr>
        <w:t>who</w:t>
      </w:r>
      <w:r w:rsidR="00EA03A5">
        <w:rPr>
          <w:lang w:val="en-GB"/>
        </w:rPr>
        <w:t xml:space="preserve">se interest cash flows </w:t>
      </w:r>
      <w:r w:rsidR="003C4CF0">
        <w:rPr>
          <w:lang w:val="en-GB"/>
        </w:rPr>
        <w:t xml:space="preserve">and balance sheets </w:t>
      </w:r>
      <w:r w:rsidR="00EA03A5">
        <w:rPr>
          <w:lang w:val="en-GB"/>
        </w:rPr>
        <w:t>are utilised remains a</w:t>
      </w:r>
      <w:r w:rsidR="003C4CF0">
        <w:rPr>
          <w:lang w:val="en-GB"/>
        </w:rPr>
        <w:t xml:space="preserve"> still</w:t>
      </w:r>
      <w:r w:rsidR="00EA03A5">
        <w:rPr>
          <w:lang w:val="en-GB"/>
        </w:rPr>
        <w:t xml:space="preserve"> contested issue. </w:t>
      </w:r>
    </w:p>
    <w:p w14:paraId="0835CBF4" w14:textId="12DE0FB5" w:rsidR="001D68A4" w:rsidRDefault="001D68A4" w:rsidP="00E66FB3">
      <w:pPr>
        <w:pStyle w:val="ListParagraph"/>
        <w:ind w:left="0"/>
        <w:jc w:val="both"/>
        <w:rPr>
          <w:lang w:val="en-GB"/>
        </w:rPr>
      </w:pPr>
    </w:p>
    <w:p w14:paraId="6C0D51D7" w14:textId="35AE0AF5" w:rsidR="001D68A4" w:rsidRDefault="001D68A4" w:rsidP="00E66FB3">
      <w:pPr>
        <w:pStyle w:val="ListParagraph"/>
        <w:ind w:left="0"/>
        <w:jc w:val="both"/>
        <w:rPr>
          <w:lang w:val="en-GB"/>
        </w:rPr>
      </w:pPr>
      <w:r>
        <w:rPr>
          <w:lang w:val="en-GB"/>
        </w:rPr>
        <w:t xml:space="preserve">Those companies making progress include T Hasegawa and BeNext Yumeshin both of </w:t>
      </w:r>
      <w:r w:rsidR="006C5646">
        <w:rPr>
          <w:lang w:val="en-GB"/>
        </w:rPr>
        <w:t xml:space="preserve">whom are releasing updated CSR disclosures in the autumn. Orix has now published its ESG data </w:t>
      </w:r>
      <w:r w:rsidR="001428EC">
        <w:rPr>
          <w:lang w:val="en-GB"/>
        </w:rPr>
        <w:t xml:space="preserve">but this is not yet reflected in databases. We introduced them to some of the data providers to ensure that the format they were using was </w:t>
      </w:r>
      <w:r w:rsidR="00E60A32">
        <w:rPr>
          <w:lang w:val="en-GB"/>
        </w:rPr>
        <w:t xml:space="preserve">appropriate. One new holding Nippon Soda which already has some good areas of qualitative disclosure will be </w:t>
      </w:r>
      <w:r w:rsidR="00D96DD5">
        <w:rPr>
          <w:lang w:val="en-GB"/>
        </w:rPr>
        <w:t>completing the CPD reporting for the first time this year after we explained how important this information was</w:t>
      </w:r>
      <w:r w:rsidR="006D0AFC">
        <w:rPr>
          <w:lang w:val="en-GB"/>
        </w:rPr>
        <w:t xml:space="preserve"> for investors and </w:t>
      </w:r>
      <w:r w:rsidR="00BA4E55">
        <w:rPr>
          <w:lang w:val="en-GB"/>
        </w:rPr>
        <w:t xml:space="preserve">their </w:t>
      </w:r>
      <w:r w:rsidR="006D0AFC">
        <w:rPr>
          <w:lang w:val="en-GB"/>
        </w:rPr>
        <w:t>clients</w:t>
      </w:r>
      <w:r w:rsidR="00D96DD5">
        <w:rPr>
          <w:lang w:val="en-GB"/>
        </w:rPr>
        <w:t xml:space="preserve">. </w:t>
      </w:r>
    </w:p>
    <w:p w14:paraId="019E0013" w14:textId="25757C1F" w:rsidR="00361161" w:rsidRDefault="00361161" w:rsidP="00E66FB3">
      <w:pPr>
        <w:pStyle w:val="ListParagraph"/>
        <w:ind w:left="0"/>
        <w:jc w:val="both"/>
        <w:rPr>
          <w:lang w:val="en-GB"/>
        </w:rPr>
      </w:pPr>
    </w:p>
    <w:p w14:paraId="272772FA" w14:textId="734F344B" w:rsidR="00361161" w:rsidRDefault="00361161" w:rsidP="00E66FB3">
      <w:pPr>
        <w:pStyle w:val="ListParagraph"/>
        <w:ind w:left="0"/>
        <w:jc w:val="both"/>
        <w:rPr>
          <w:lang w:val="en-GB"/>
        </w:rPr>
      </w:pPr>
      <w:r>
        <w:rPr>
          <w:lang w:val="en-GB"/>
        </w:rPr>
        <w:t xml:space="preserve">We have also recently completed our annual carbon intensity study. </w:t>
      </w:r>
      <w:r w:rsidR="00AB0FA9">
        <w:rPr>
          <w:lang w:val="en-GB"/>
        </w:rPr>
        <w:t>This is a very granular study using all of the different data s</w:t>
      </w:r>
      <w:r w:rsidR="0029021B">
        <w:rPr>
          <w:lang w:val="en-GB"/>
        </w:rPr>
        <w:t>o</w:t>
      </w:r>
      <w:r w:rsidR="00AB0FA9">
        <w:rPr>
          <w:lang w:val="en-GB"/>
        </w:rPr>
        <w:t>urces at our disposal</w:t>
      </w:r>
      <w:r w:rsidR="00E31D79">
        <w:rPr>
          <w:lang w:val="en-GB"/>
        </w:rPr>
        <w:t xml:space="preserve">. </w:t>
      </w:r>
      <w:r w:rsidR="00104EFA">
        <w:rPr>
          <w:lang w:val="en-GB"/>
        </w:rPr>
        <w:t xml:space="preserve">The quality of data is improving but still not very good. </w:t>
      </w:r>
      <w:r w:rsidR="00E31D79">
        <w:rPr>
          <w:lang w:val="en-GB"/>
        </w:rPr>
        <w:t>We also use this to compare some of the data vendor estimation of our footprint</w:t>
      </w:r>
      <w:r w:rsidR="00104EFA">
        <w:rPr>
          <w:lang w:val="en-GB"/>
        </w:rPr>
        <w:t>.</w:t>
      </w:r>
      <w:r w:rsidR="002C5750">
        <w:rPr>
          <w:lang w:val="en-GB"/>
        </w:rPr>
        <w:t xml:space="preserve">  The Scope 1 / 2 carbon intensity that we estimate is 41</w:t>
      </w:r>
      <w:r w:rsidR="0010037B">
        <w:rPr>
          <w:lang w:val="en-GB"/>
        </w:rPr>
        <w:t xml:space="preserve"> Tco2/$1m revenue. </w:t>
      </w:r>
    </w:p>
    <w:p w14:paraId="034E3513" w14:textId="4D9F4464" w:rsidR="003C7E40" w:rsidRDefault="003C7E40" w:rsidP="00E66FB3">
      <w:pPr>
        <w:pStyle w:val="ListParagraph"/>
        <w:ind w:left="0"/>
        <w:jc w:val="both"/>
        <w:rPr>
          <w:lang w:val="en-GB"/>
        </w:rPr>
      </w:pPr>
    </w:p>
    <w:p w14:paraId="720F8C30" w14:textId="77777777" w:rsidR="002C5750" w:rsidRDefault="002C5750" w:rsidP="00E66FB3">
      <w:pPr>
        <w:pStyle w:val="ListParagraph"/>
        <w:ind w:left="0"/>
        <w:jc w:val="both"/>
        <w:rPr>
          <w:lang w:val="en-GB"/>
        </w:rPr>
      </w:pPr>
    </w:p>
    <w:p w14:paraId="239615C8" w14:textId="3C56A798" w:rsidR="003C7E40" w:rsidRDefault="003C7E40" w:rsidP="00E66FB3">
      <w:pPr>
        <w:pStyle w:val="ListParagraph"/>
        <w:ind w:left="0"/>
        <w:jc w:val="both"/>
        <w:rPr>
          <w:lang w:val="en-GB"/>
        </w:rPr>
      </w:pPr>
      <w:r w:rsidRPr="003C7E40">
        <w:rPr>
          <w:noProof/>
        </w:rPr>
        <w:lastRenderedPageBreak/>
        <w:drawing>
          <wp:inline distT="0" distB="0" distL="0" distR="0" wp14:anchorId="25A68063" wp14:editId="458550F4">
            <wp:extent cx="5760720" cy="37268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84D08" w14:textId="2CB38C4A" w:rsidR="00243DDE" w:rsidRDefault="00243DDE" w:rsidP="00E66FB3">
      <w:pPr>
        <w:pStyle w:val="ListParagraph"/>
        <w:ind w:left="0"/>
        <w:jc w:val="both"/>
        <w:rPr>
          <w:lang w:val="en-GB"/>
        </w:rPr>
      </w:pPr>
    </w:p>
    <w:p w14:paraId="7F19B62A" w14:textId="3F1AAA59" w:rsidR="00005981" w:rsidRDefault="00005981" w:rsidP="00E66FB3">
      <w:pPr>
        <w:pStyle w:val="ListParagraph"/>
        <w:ind w:left="0"/>
        <w:jc w:val="both"/>
        <w:rPr>
          <w:lang w:val="en-GB"/>
        </w:rPr>
      </w:pPr>
      <w:r>
        <w:rPr>
          <w:lang w:val="en-GB"/>
        </w:rPr>
        <w:t xml:space="preserve">Contrasting this with the estimates from </w:t>
      </w:r>
      <w:r w:rsidR="00BA4E55">
        <w:rPr>
          <w:lang w:val="en-GB"/>
        </w:rPr>
        <w:t>3</w:t>
      </w:r>
      <w:r>
        <w:rPr>
          <w:lang w:val="en-GB"/>
        </w:rPr>
        <w:t xml:space="preserve"> data vendors shows a Scope 1 estimation gap of 6.5x</w:t>
      </w:r>
      <w:r w:rsidR="00866889">
        <w:rPr>
          <w:lang w:val="en-GB"/>
        </w:rPr>
        <w:t>. One</w:t>
      </w:r>
      <w:r w:rsidR="00324FBA">
        <w:rPr>
          <w:lang w:val="en-GB"/>
        </w:rPr>
        <w:t xml:space="preserve"> </w:t>
      </w:r>
      <w:r w:rsidR="00866889">
        <w:rPr>
          <w:lang w:val="en-GB"/>
        </w:rPr>
        <w:t xml:space="preserve">main difference between our estimate is that we spoke to </w:t>
      </w:r>
      <w:r w:rsidR="00A17750">
        <w:rPr>
          <w:lang w:val="en-GB"/>
        </w:rPr>
        <w:t>several</w:t>
      </w:r>
      <w:r w:rsidR="00866889">
        <w:rPr>
          <w:lang w:val="en-GB"/>
        </w:rPr>
        <w:t xml:space="preserve"> companies who have not yet officially released their data and incorporated this</w:t>
      </w:r>
      <w:r w:rsidR="00A17750">
        <w:rPr>
          <w:lang w:val="en-GB"/>
        </w:rPr>
        <w:t xml:space="preserve"> ‘best efforts estimate’ which those </w:t>
      </w:r>
      <w:r w:rsidR="00324FBA">
        <w:rPr>
          <w:lang w:val="en-GB"/>
        </w:rPr>
        <w:t xml:space="preserve">data providers </w:t>
      </w:r>
      <w:r w:rsidR="00A17750">
        <w:rPr>
          <w:lang w:val="en-GB"/>
        </w:rPr>
        <w:t xml:space="preserve"> do not have access to</w:t>
      </w:r>
      <w:r w:rsidR="00866889">
        <w:rPr>
          <w:lang w:val="en-GB"/>
        </w:rPr>
        <w:t>.</w:t>
      </w:r>
      <w:r w:rsidR="00A17750">
        <w:rPr>
          <w:lang w:val="en-GB"/>
        </w:rPr>
        <w:t xml:space="preserve"> </w:t>
      </w:r>
      <w:r w:rsidR="00BD3A0D">
        <w:rPr>
          <w:lang w:val="en-GB"/>
        </w:rPr>
        <w:t xml:space="preserve">Our portfolio estimate is very close to that derived by Bloomberg and Vendor A after making those adjustments. </w:t>
      </w:r>
      <w:r w:rsidR="00C55FD7">
        <w:rPr>
          <w:lang w:val="en-GB"/>
        </w:rPr>
        <w:t xml:space="preserve">In contrast Vendor B estimation is quite far removed. For reference Topix </w:t>
      </w:r>
      <w:r w:rsidR="00324FBA">
        <w:rPr>
          <w:lang w:val="en-GB"/>
        </w:rPr>
        <w:t xml:space="preserve">is reported to be an intensity of 91 on an equivalent basis by Bloomberg. </w:t>
      </w:r>
    </w:p>
    <w:p w14:paraId="06A3B83C" w14:textId="781CFECC" w:rsidR="00243DDE" w:rsidRDefault="00005981" w:rsidP="00E66FB3">
      <w:pPr>
        <w:pStyle w:val="ListParagraph"/>
        <w:ind w:left="0"/>
        <w:jc w:val="both"/>
        <w:rPr>
          <w:lang w:val="en-GB"/>
        </w:rPr>
      </w:pPr>
      <w:r w:rsidRPr="00005981">
        <w:rPr>
          <w:noProof/>
          <w:lang w:val="en-GB"/>
        </w:rPr>
        <w:drawing>
          <wp:inline distT="0" distB="0" distL="0" distR="0" wp14:anchorId="0B67C01D" wp14:editId="0D345BD4">
            <wp:extent cx="5760720" cy="34632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19714" w14:textId="77777777" w:rsidR="003845D2" w:rsidRDefault="003845D2" w:rsidP="00510A42">
      <w:pPr>
        <w:jc w:val="both"/>
        <w:rPr>
          <w:lang w:val="en-GB"/>
        </w:rPr>
      </w:pPr>
    </w:p>
    <w:sectPr w:rsidR="003845D2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A4A6" w14:textId="77777777" w:rsidR="00F12FF0" w:rsidRDefault="00F12FF0" w:rsidP="00237673">
      <w:pPr>
        <w:spacing w:after="0" w:line="240" w:lineRule="auto"/>
      </w:pPr>
      <w:r>
        <w:separator/>
      </w:r>
    </w:p>
  </w:endnote>
  <w:endnote w:type="continuationSeparator" w:id="0">
    <w:p w14:paraId="78953E08" w14:textId="77777777" w:rsidR="00F12FF0" w:rsidRDefault="00F12FF0" w:rsidP="0023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008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9A926F" w14:textId="1B4C76F6" w:rsidR="00237673" w:rsidRDefault="002376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0C00A" w14:textId="77777777" w:rsidR="00237673" w:rsidRDefault="00237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97B2" w14:textId="77777777" w:rsidR="00F12FF0" w:rsidRDefault="00F12FF0" w:rsidP="00237673">
      <w:pPr>
        <w:spacing w:after="0" w:line="240" w:lineRule="auto"/>
      </w:pPr>
      <w:r>
        <w:separator/>
      </w:r>
    </w:p>
  </w:footnote>
  <w:footnote w:type="continuationSeparator" w:id="0">
    <w:p w14:paraId="53007D75" w14:textId="77777777" w:rsidR="00F12FF0" w:rsidRDefault="00F12FF0" w:rsidP="0023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5E7E"/>
    <w:multiLevelType w:val="hybridMultilevel"/>
    <w:tmpl w:val="D602AA42"/>
    <w:lvl w:ilvl="0" w:tplc="0FFA4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B83808"/>
    <w:multiLevelType w:val="hybridMultilevel"/>
    <w:tmpl w:val="66AAE9E8"/>
    <w:lvl w:ilvl="0" w:tplc="C39A63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0F47"/>
    <w:multiLevelType w:val="hybridMultilevel"/>
    <w:tmpl w:val="3A2AD342"/>
    <w:lvl w:ilvl="0" w:tplc="671AE32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D5405"/>
    <w:multiLevelType w:val="hybridMultilevel"/>
    <w:tmpl w:val="D7A6768A"/>
    <w:lvl w:ilvl="0" w:tplc="EC8C5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DE43D4"/>
    <w:multiLevelType w:val="hybridMultilevel"/>
    <w:tmpl w:val="1632FAA2"/>
    <w:lvl w:ilvl="0" w:tplc="D632C6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88413A"/>
    <w:multiLevelType w:val="hybridMultilevel"/>
    <w:tmpl w:val="93CEB86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15682B"/>
    <w:multiLevelType w:val="hybridMultilevel"/>
    <w:tmpl w:val="6AD6168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2170821">
    <w:abstractNumId w:val="1"/>
  </w:num>
  <w:num w:numId="2" w16cid:durableId="1948539192">
    <w:abstractNumId w:val="3"/>
  </w:num>
  <w:num w:numId="3" w16cid:durableId="1698431443">
    <w:abstractNumId w:val="2"/>
  </w:num>
  <w:num w:numId="4" w16cid:durableId="522593477">
    <w:abstractNumId w:val="0"/>
  </w:num>
  <w:num w:numId="5" w16cid:durableId="1260597451">
    <w:abstractNumId w:val="4"/>
  </w:num>
  <w:num w:numId="6" w16cid:durableId="479002823">
    <w:abstractNumId w:val="5"/>
  </w:num>
  <w:num w:numId="7" w16cid:durableId="149711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D2"/>
    <w:rsid w:val="00000B40"/>
    <w:rsid w:val="00005981"/>
    <w:rsid w:val="00013ED5"/>
    <w:rsid w:val="0003431D"/>
    <w:rsid w:val="00034331"/>
    <w:rsid w:val="00090624"/>
    <w:rsid w:val="00095F0C"/>
    <w:rsid w:val="0009765D"/>
    <w:rsid w:val="000B3DDE"/>
    <w:rsid w:val="000C0156"/>
    <w:rsid w:val="000E2997"/>
    <w:rsid w:val="000F317A"/>
    <w:rsid w:val="000F3973"/>
    <w:rsid w:val="0010037B"/>
    <w:rsid w:val="00104EFA"/>
    <w:rsid w:val="00126B00"/>
    <w:rsid w:val="001316A9"/>
    <w:rsid w:val="001428EC"/>
    <w:rsid w:val="00146203"/>
    <w:rsid w:val="00160E1A"/>
    <w:rsid w:val="00176696"/>
    <w:rsid w:val="00177D87"/>
    <w:rsid w:val="001924BD"/>
    <w:rsid w:val="00193130"/>
    <w:rsid w:val="001B1828"/>
    <w:rsid w:val="001B7EEE"/>
    <w:rsid w:val="001D68A4"/>
    <w:rsid w:val="001E06DF"/>
    <w:rsid w:val="001F693E"/>
    <w:rsid w:val="00206154"/>
    <w:rsid w:val="002206B0"/>
    <w:rsid w:val="00223E8A"/>
    <w:rsid w:val="00237673"/>
    <w:rsid w:val="00243DDE"/>
    <w:rsid w:val="00265909"/>
    <w:rsid w:val="00266B2D"/>
    <w:rsid w:val="00282866"/>
    <w:rsid w:val="0029021B"/>
    <w:rsid w:val="002B1739"/>
    <w:rsid w:val="002C5750"/>
    <w:rsid w:val="002F2991"/>
    <w:rsid w:val="002F6BDE"/>
    <w:rsid w:val="003165FE"/>
    <w:rsid w:val="00320C81"/>
    <w:rsid w:val="00324FBA"/>
    <w:rsid w:val="003500D3"/>
    <w:rsid w:val="00361161"/>
    <w:rsid w:val="0036213E"/>
    <w:rsid w:val="003845D2"/>
    <w:rsid w:val="00396C78"/>
    <w:rsid w:val="003C014E"/>
    <w:rsid w:val="003C4CF0"/>
    <w:rsid w:val="003C70D2"/>
    <w:rsid w:val="003C7E40"/>
    <w:rsid w:val="003D6E17"/>
    <w:rsid w:val="003F4B6C"/>
    <w:rsid w:val="00407FD7"/>
    <w:rsid w:val="00414143"/>
    <w:rsid w:val="00433B4B"/>
    <w:rsid w:val="004748EE"/>
    <w:rsid w:val="00491303"/>
    <w:rsid w:val="004D27A6"/>
    <w:rsid w:val="00510A42"/>
    <w:rsid w:val="005541F4"/>
    <w:rsid w:val="005609F3"/>
    <w:rsid w:val="00570CBA"/>
    <w:rsid w:val="0059253A"/>
    <w:rsid w:val="00597BA5"/>
    <w:rsid w:val="005C1199"/>
    <w:rsid w:val="005D044E"/>
    <w:rsid w:val="005D26AD"/>
    <w:rsid w:val="005D2944"/>
    <w:rsid w:val="005E31D6"/>
    <w:rsid w:val="0061660F"/>
    <w:rsid w:val="0062758C"/>
    <w:rsid w:val="00645AE8"/>
    <w:rsid w:val="00655516"/>
    <w:rsid w:val="00680E1B"/>
    <w:rsid w:val="006855D0"/>
    <w:rsid w:val="006941C3"/>
    <w:rsid w:val="00697583"/>
    <w:rsid w:val="006B6F57"/>
    <w:rsid w:val="006C2469"/>
    <w:rsid w:val="006C5646"/>
    <w:rsid w:val="006C6BB7"/>
    <w:rsid w:val="006D0AFC"/>
    <w:rsid w:val="006D113C"/>
    <w:rsid w:val="006D2B4A"/>
    <w:rsid w:val="006D3C2E"/>
    <w:rsid w:val="006D4740"/>
    <w:rsid w:val="006E7C58"/>
    <w:rsid w:val="007106CA"/>
    <w:rsid w:val="00715F66"/>
    <w:rsid w:val="007166EA"/>
    <w:rsid w:val="00747923"/>
    <w:rsid w:val="00752068"/>
    <w:rsid w:val="00763C8D"/>
    <w:rsid w:val="007754A0"/>
    <w:rsid w:val="007D0239"/>
    <w:rsid w:val="007E2FC3"/>
    <w:rsid w:val="007F719D"/>
    <w:rsid w:val="0081319B"/>
    <w:rsid w:val="00851E0D"/>
    <w:rsid w:val="00863410"/>
    <w:rsid w:val="00866889"/>
    <w:rsid w:val="00884A19"/>
    <w:rsid w:val="008914B9"/>
    <w:rsid w:val="008B36E4"/>
    <w:rsid w:val="008F5295"/>
    <w:rsid w:val="0090106E"/>
    <w:rsid w:val="00907764"/>
    <w:rsid w:val="00913F1E"/>
    <w:rsid w:val="00943020"/>
    <w:rsid w:val="00944366"/>
    <w:rsid w:val="00944E68"/>
    <w:rsid w:val="00950D1B"/>
    <w:rsid w:val="00951333"/>
    <w:rsid w:val="00952C82"/>
    <w:rsid w:val="00960AD8"/>
    <w:rsid w:val="0096675D"/>
    <w:rsid w:val="00967C89"/>
    <w:rsid w:val="009775F6"/>
    <w:rsid w:val="009A66AA"/>
    <w:rsid w:val="009C013C"/>
    <w:rsid w:val="009C5DDC"/>
    <w:rsid w:val="00A02A30"/>
    <w:rsid w:val="00A17750"/>
    <w:rsid w:val="00A31BA2"/>
    <w:rsid w:val="00A35FA9"/>
    <w:rsid w:val="00A45756"/>
    <w:rsid w:val="00A5466F"/>
    <w:rsid w:val="00A66758"/>
    <w:rsid w:val="00A70D47"/>
    <w:rsid w:val="00A74CFA"/>
    <w:rsid w:val="00A8286D"/>
    <w:rsid w:val="00A9097A"/>
    <w:rsid w:val="00AB0FA9"/>
    <w:rsid w:val="00AB77A2"/>
    <w:rsid w:val="00AC564B"/>
    <w:rsid w:val="00AF7719"/>
    <w:rsid w:val="00AF7CE7"/>
    <w:rsid w:val="00B027DB"/>
    <w:rsid w:val="00B20F45"/>
    <w:rsid w:val="00B41A25"/>
    <w:rsid w:val="00B51E6D"/>
    <w:rsid w:val="00B633DB"/>
    <w:rsid w:val="00B665F6"/>
    <w:rsid w:val="00B7231C"/>
    <w:rsid w:val="00B82F6D"/>
    <w:rsid w:val="00BA0AAD"/>
    <w:rsid w:val="00BA4E55"/>
    <w:rsid w:val="00BB390B"/>
    <w:rsid w:val="00BD1131"/>
    <w:rsid w:val="00BD28F0"/>
    <w:rsid w:val="00BD28F1"/>
    <w:rsid w:val="00BD327A"/>
    <w:rsid w:val="00BD3A0D"/>
    <w:rsid w:val="00BE2627"/>
    <w:rsid w:val="00BE2986"/>
    <w:rsid w:val="00BF5A63"/>
    <w:rsid w:val="00C23C76"/>
    <w:rsid w:val="00C3169F"/>
    <w:rsid w:val="00C31E52"/>
    <w:rsid w:val="00C31F54"/>
    <w:rsid w:val="00C33D31"/>
    <w:rsid w:val="00C55FD7"/>
    <w:rsid w:val="00C62B22"/>
    <w:rsid w:val="00C70AE6"/>
    <w:rsid w:val="00C81B1C"/>
    <w:rsid w:val="00C821AF"/>
    <w:rsid w:val="00C870F9"/>
    <w:rsid w:val="00C920B2"/>
    <w:rsid w:val="00C957CA"/>
    <w:rsid w:val="00C965FC"/>
    <w:rsid w:val="00C96792"/>
    <w:rsid w:val="00CA384A"/>
    <w:rsid w:val="00CA5B23"/>
    <w:rsid w:val="00CA627A"/>
    <w:rsid w:val="00CC0949"/>
    <w:rsid w:val="00CD7C24"/>
    <w:rsid w:val="00CE51B3"/>
    <w:rsid w:val="00CE7278"/>
    <w:rsid w:val="00D003AA"/>
    <w:rsid w:val="00D179A9"/>
    <w:rsid w:val="00D303C2"/>
    <w:rsid w:val="00D4736F"/>
    <w:rsid w:val="00D5521F"/>
    <w:rsid w:val="00D6313B"/>
    <w:rsid w:val="00D70A85"/>
    <w:rsid w:val="00D770D4"/>
    <w:rsid w:val="00D92932"/>
    <w:rsid w:val="00D96DD5"/>
    <w:rsid w:val="00DB2F2B"/>
    <w:rsid w:val="00DB403B"/>
    <w:rsid w:val="00DB699D"/>
    <w:rsid w:val="00DD59D2"/>
    <w:rsid w:val="00DF1B94"/>
    <w:rsid w:val="00DF35F8"/>
    <w:rsid w:val="00E02D0A"/>
    <w:rsid w:val="00E0479D"/>
    <w:rsid w:val="00E10505"/>
    <w:rsid w:val="00E31D79"/>
    <w:rsid w:val="00E4510F"/>
    <w:rsid w:val="00E60A32"/>
    <w:rsid w:val="00E618EE"/>
    <w:rsid w:val="00E66FB3"/>
    <w:rsid w:val="00E74F7E"/>
    <w:rsid w:val="00E77868"/>
    <w:rsid w:val="00E81449"/>
    <w:rsid w:val="00E878FD"/>
    <w:rsid w:val="00E9195A"/>
    <w:rsid w:val="00EA03A5"/>
    <w:rsid w:val="00EA08EC"/>
    <w:rsid w:val="00EA2F3C"/>
    <w:rsid w:val="00EA73B5"/>
    <w:rsid w:val="00EB47A9"/>
    <w:rsid w:val="00ED0561"/>
    <w:rsid w:val="00ED0CBF"/>
    <w:rsid w:val="00ED701E"/>
    <w:rsid w:val="00F00331"/>
    <w:rsid w:val="00F03655"/>
    <w:rsid w:val="00F07986"/>
    <w:rsid w:val="00F12FF0"/>
    <w:rsid w:val="00F30913"/>
    <w:rsid w:val="00F41D68"/>
    <w:rsid w:val="00F42D32"/>
    <w:rsid w:val="00F50815"/>
    <w:rsid w:val="00F61510"/>
    <w:rsid w:val="00F7105E"/>
    <w:rsid w:val="00F77CE5"/>
    <w:rsid w:val="00F86579"/>
    <w:rsid w:val="00FA7394"/>
    <w:rsid w:val="00FC1EB7"/>
    <w:rsid w:val="00FC288C"/>
    <w:rsid w:val="00FD2F50"/>
    <w:rsid w:val="00FE3772"/>
    <w:rsid w:val="00FE3A6C"/>
    <w:rsid w:val="00FE57A2"/>
    <w:rsid w:val="00FE71F4"/>
    <w:rsid w:val="00FF1FA5"/>
    <w:rsid w:val="7144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E0FB"/>
  <w15:chartTrackingRefBased/>
  <w15:docId w15:val="{D4F190D9-64AE-4523-85C9-CB51DC27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D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E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7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73"/>
  </w:style>
  <w:style w:type="paragraph" w:styleId="Footer">
    <w:name w:val="footer"/>
    <w:basedOn w:val="Normal"/>
    <w:link w:val="FooterChar"/>
    <w:uiPriority w:val="99"/>
    <w:unhideWhenUsed/>
    <w:rsid w:val="00237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73"/>
  </w:style>
  <w:style w:type="paragraph" w:styleId="Revision">
    <w:name w:val="Revision"/>
    <w:hidden/>
    <w:uiPriority w:val="99"/>
    <w:semiHidden/>
    <w:rsid w:val="000F3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chart" Target="charts/chart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zennorasset-my.sharepoint.com/personal/david_mitchinson_zennor-am_com/Documents/Sustainability/Engagement%20Track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H1 2022</a:t>
            </a:r>
            <a:r>
              <a:rPr lang="en-GB" baseline="0"/>
              <a:t> Engagement Type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5F5-4889-AD4F-3DF330C5CF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5F5-4889-AD4F-3DF330C5CF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5F5-4889-AD4F-3DF330C5CFB0}"/>
              </c:ext>
            </c:extLst>
          </c:dPt>
          <c:cat>
            <c:strRef>
              <c:f>'22 YTD'!$R$5:$R$7</c:f>
              <c:strCache>
                <c:ptCount val="3"/>
                <c:pt idx="0">
                  <c:v>Governance</c:v>
                </c:pt>
                <c:pt idx="1">
                  <c:v>Strategy</c:v>
                </c:pt>
                <c:pt idx="2">
                  <c:v>Sustainability</c:v>
                </c:pt>
              </c:strCache>
            </c:strRef>
          </c:cat>
          <c:val>
            <c:numRef>
              <c:f>'22 YTD'!$S$5:$S$7</c:f>
              <c:numCache>
                <c:formatCode>General</c:formatCode>
                <c:ptCount val="3"/>
                <c:pt idx="0">
                  <c:v>27</c:v>
                </c:pt>
                <c:pt idx="1">
                  <c:v>25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F5-4889-AD4F-3DF330C5CF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DF1FF8EE5A048B5F6CA8D6399667D" ma:contentTypeVersion="16" ma:contentTypeDescription="Create a new document." ma:contentTypeScope="" ma:versionID="fc269c9b2ae6adf51622fb3c557fa93c">
  <xsd:schema xmlns:xsd="http://www.w3.org/2001/XMLSchema" xmlns:xs="http://www.w3.org/2001/XMLSchema" xmlns:p="http://schemas.microsoft.com/office/2006/metadata/properties" xmlns:ns2="a848cc8f-795c-47a6-b096-fca19e33e1e4" xmlns:ns3="59bec219-3962-48a4-9d19-3f59b6a72ae7" targetNamespace="http://schemas.microsoft.com/office/2006/metadata/properties" ma:root="true" ma:fieldsID="33ec3d054a76cecb4fe30db80e8a797f" ns2:_="" ns3:_="">
    <xsd:import namespace="a848cc8f-795c-47a6-b096-fca19e33e1e4"/>
    <xsd:import namespace="59bec219-3962-48a4-9d19-3f59b6a72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8cc8f-795c-47a6-b096-fca19e33e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c1d11a-4f35-462b-b18e-013022d8c9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ec219-3962-48a4-9d19-3f59b6a72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5044bc-77d3-4cb7-8fbb-f68d682b5342}" ma:internalName="TaxCatchAll" ma:showField="CatchAllData" ma:web="59bec219-3962-48a4-9d19-3f59b6a72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48cc8f-795c-47a6-b096-fca19e33e1e4">
      <Terms xmlns="http://schemas.microsoft.com/office/infopath/2007/PartnerControls"/>
    </lcf76f155ced4ddcb4097134ff3c332f>
    <TaxCatchAll xmlns="59bec219-3962-48a4-9d19-3f59b6a72a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5F07C-700E-44BC-8A02-9D43985C3911}"/>
</file>

<file path=customXml/itemProps2.xml><?xml version="1.0" encoding="utf-8"?>
<ds:datastoreItem xmlns:ds="http://schemas.openxmlformats.org/officeDocument/2006/customXml" ds:itemID="{064B4653-424F-4C20-8A5D-CF51C272E982}">
  <ds:schemaRefs>
    <ds:schemaRef ds:uri="http://schemas.microsoft.com/office/2006/metadata/properties"/>
    <ds:schemaRef ds:uri="http://schemas.microsoft.com/office/infopath/2007/PartnerControls"/>
    <ds:schemaRef ds:uri="80bc1f0a-d55d-475a-bbe8-2af413111f0d"/>
    <ds:schemaRef ds:uri="0b9552aa-e66a-4ca6-b825-68822d4e2247"/>
  </ds:schemaRefs>
</ds:datastoreItem>
</file>

<file path=customXml/itemProps3.xml><?xml version="1.0" encoding="utf-8"?>
<ds:datastoreItem xmlns:ds="http://schemas.openxmlformats.org/officeDocument/2006/customXml" ds:itemID="{C066937A-CCCE-4489-AA2A-E8DD924AE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SAUREN Fonds-Service AG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Viehmann</dc:creator>
  <cp:keywords/>
  <dc:description/>
  <cp:lastModifiedBy>Daniela Utane: Spring Capital</cp:lastModifiedBy>
  <cp:revision>10</cp:revision>
  <cp:lastPrinted>2022-02-01T15:22:00Z</cp:lastPrinted>
  <dcterms:created xsi:type="dcterms:W3CDTF">2023-05-12T13:17:00Z</dcterms:created>
  <dcterms:modified xsi:type="dcterms:W3CDTF">2023-06-19T12:53:00Z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0x010100993149E5D19E1247BCABF9ABBD45F7CC</vt:lpwstr>
  </property>
  <property fmtid="{D5CDD505-2E9C-101B-9397-08002B2CF9AE}" pid="3" name="MediaServiceImageTags">
    <vt:lpwstr/>
  </property>
</Properties>
</file>