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66B3" w14:textId="60267B75" w:rsidR="008302E1" w:rsidRDefault="008302E1" w:rsidP="008302E1">
      <w:pPr>
        <w:spacing w:line="240" w:lineRule="auto"/>
        <w:jc w:val="center"/>
        <w:rPr>
          <w:b/>
          <w:sz w:val="16"/>
          <w:szCs w:val="16"/>
          <w:lang w:val="en-GB"/>
        </w:rPr>
      </w:pPr>
      <w:r>
        <w:rPr>
          <w:b/>
          <w:sz w:val="28"/>
          <w:szCs w:val="28"/>
          <w:lang w:val="en-GB"/>
        </w:rPr>
        <w:t xml:space="preserve">Zennor Asset Management </w:t>
      </w:r>
      <w:r>
        <w:rPr>
          <w:b/>
          <w:sz w:val="28"/>
          <w:szCs w:val="28"/>
          <w:lang w:val="en-GB"/>
        </w:rPr>
        <w:br/>
        <w:t xml:space="preserve">ACTIVE OWNERSHIP REPORT </w:t>
      </w:r>
      <w:r>
        <w:rPr>
          <w:b/>
          <w:sz w:val="28"/>
          <w:szCs w:val="28"/>
          <w:lang w:val="en-GB"/>
        </w:rPr>
        <w:br/>
        <w:t>H2 2021</w:t>
      </w:r>
      <w:r>
        <w:rPr>
          <w:b/>
          <w:sz w:val="28"/>
          <w:szCs w:val="28"/>
          <w:lang w:val="en-GB"/>
        </w:rPr>
        <w:br/>
      </w:r>
    </w:p>
    <w:p w14:paraId="5FC0A5BC" w14:textId="77777777" w:rsidR="008302E1" w:rsidRDefault="008302E1" w:rsidP="008302E1">
      <w:pPr>
        <w:spacing w:line="240" w:lineRule="auto"/>
        <w:rPr>
          <w:b/>
          <w:lang w:val="en-GB"/>
        </w:rPr>
      </w:pPr>
    </w:p>
    <w:p w14:paraId="7CA30CC9" w14:textId="77777777" w:rsidR="008302E1" w:rsidRDefault="008302E1" w:rsidP="008302E1">
      <w:pPr>
        <w:pStyle w:val="ListParagraph"/>
        <w:spacing w:line="240" w:lineRule="auto"/>
        <w:rPr>
          <w:b/>
          <w:lang w:val="en-GB"/>
        </w:rPr>
      </w:pPr>
    </w:p>
    <w:p w14:paraId="162E8604" w14:textId="77777777" w:rsidR="008302E1" w:rsidRDefault="008302E1" w:rsidP="008302E1">
      <w:pPr>
        <w:pStyle w:val="ListParagraph"/>
        <w:numPr>
          <w:ilvl w:val="0"/>
          <w:numId w:val="1"/>
        </w:numPr>
        <w:spacing w:line="240" w:lineRule="auto"/>
        <w:rPr>
          <w:b/>
          <w:lang w:val="en-GB"/>
        </w:rPr>
      </w:pPr>
      <w:r>
        <w:rPr>
          <w:b/>
          <w:lang w:val="en-GB"/>
        </w:rPr>
        <w:t>VOTING BEHAVIOR</w:t>
      </w:r>
    </w:p>
    <w:p w14:paraId="11D7F8D6" w14:textId="77777777" w:rsidR="008302E1" w:rsidRDefault="008302E1" w:rsidP="008302E1">
      <w:pPr>
        <w:pStyle w:val="ListParagraph"/>
        <w:spacing w:line="240" w:lineRule="auto"/>
        <w:rPr>
          <w:b/>
          <w:lang w:val="en-GB"/>
        </w:rPr>
      </w:pPr>
    </w:p>
    <w:p w14:paraId="2571D1C1" w14:textId="77777777" w:rsidR="008302E1" w:rsidRPr="00316A8A" w:rsidRDefault="008302E1" w:rsidP="008302E1">
      <w:pPr>
        <w:pStyle w:val="ListParagraph"/>
        <w:numPr>
          <w:ilvl w:val="0"/>
          <w:numId w:val="2"/>
        </w:numPr>
        <w:spacing w:line="240" w:lineRule="auto"/>
        <w:rPr>
          <w:b/>
          <w:bCs/>
          <w:lang w:val="en-GB"/>
        </w:rPr>
      </w:pPr>
      <w:r>
        <w:rPr>
          <w:b/>
          <w:bCs/>
          <w:lang w:val="en-GB"/>
        </w:rPr>
        <w:t>V</w:t>
      </w:r>
      <w:r w:rsidRPr="002C6D0E">
        <w:rPr>
          <w:b/>
          <w:bCs/>
          <w:lang w:val="en-GB"/>
        </w:rPr>
        <w:t xml:space="preserve">oting behaviour </w:t>
      </w:r>
    </w:p>
    <w:p w14:paraId="61A702BE" w14:textId="116428C9" w:rsidR="00BE2627" w:rsidRDefault="00BD327A" w:rsidP="00510A42">
      <w:pPr>
        <w:spacing w:line="240" w:lineRule="auto"/>
        <w:jc w:val="both"/>
        <w:rPr>
          <w:lang w:val="en-GB"/>
        </w:rPr>
      </w:pPr>
      <w:r>
        <w:rPr>
          <w:lang w:val="en-GB"/>
        </w:rPr>
        <w:t>Zennor believes that voting is one of the fundamental responsibilities of stewardship. It is an</w:t>
      </w:r>
      <w:r w:rsidR="008B36E4">
        <w:rPr>
          <w:lang w:val="en-GB"/>
        </w:rPr>
        <w:t xml:space="preserve"> </w:t>
      </w:r>
      <w:r>
        <w:rPr>
          <w:lang w:val="en-GB"/>
        </w:rPr>
        <w:t xml:space="preserve">opportunity to </w:t>
      </w:r>
      <w:r w:rsidR="00D6313B">
        <w:rPr>
          <w:lang w:val="en-GB"/>
        </w:rPr>
        <w:t>formally</w:t>
      </w:r>
      <w:r>
        <w:rPr>
          <w:lang w:val="en-GB"/>
        </w:rPr>
        <w:t xml:space="preserve"> sup</w:t>
      </w:r>
      <w:r w:rsidR="00D6313B">
        <w:rPr>
          <w:lang w:val="en-GB"/>
        </w:rPr>
        <w:t xml:space="preserve">port the management or not to support their policy. </w:t>
      </w:r>
      <w:r>
        <w:rPr>
          <w:lang w:val="en-GB"/>
        </w:rPr>
        <w:t xml:space="preserve"> </w:t>
      </w:r>
      <w:r w:rsidR="008B36E4">
        <w:rPr>
          <w:lang w:val="en-GB"/>
        </w:rPr>
        <w:t>I</w:t>
      </w:r>
      <w:r w:rsidR="00D6313B">
        <w:rPr>
          <w:lang w:val="en-GB"/>
        </w:rPr>
        <w:t xml:space="preserve">n Japan </w:t>
      </w:r>
      <w:r w:rsidR="008B36E4">
        <w:rPr>
          <w:lang w:val="en-GB"/>
        </w:rPr>
        <w:t xml:space="preserve">even </w:t>
      </w:r>
      <w:r w:rsidR="00BF5A63">
        <w:rPr>
          <w:lang w:val="en-GB"/>
        </w:rPr>
        <w:t>modest level</w:t>
      </w:r>
      <w:r w:rsidR="00BE2627">
        <w:rPr>
          <w:lang w:val="en-GB"/>
        </w:rPr>
        <w:t>s of</w:t>
      </w:r>
      <w:r w:rsidR="00BF5A63">
        <w:rPr>
          <w:lang w:val="en-GB"/>
        </w:rPr>
        <w:t xml:space="preserve"> non-support can be sufficient to drive an internal reassessment</w:t>
      </w:r>
      <w:r w:rsidR="00BE2627">
        <w:rPr>
          <w:lang w:val="en-GB"/>
        </w:rPr>
        <w:t xml:space="preserve">. </w:t>
      </w:r>
    </w:p>
    <w:p w14:paraId="35D27EA2" w14:textId="46310559" w:rsidR="00F86579" w:rsidRDefault="00F86579" w:rsidP="00510A42">
      <w:pPr>
        <w:spacing w:line="240" w:lineRule="auto"/>
        <w:jc w:val="both"/>
        <w:rPr>
          <w:lang w:val="en-GB"/>
        </w:rPr>
      </w:pPr>
      <w:r>
        <w:rPr>
          <w:lang w:val="en-GB"/>
        </w:rPr>
        <w:t xml:space="preserve">These details are provided in the </w:t>
      </w:r>
      <w:r w:rsidR="00DF1B94">
        <w:rPr>
          <w:lang w:val="en-GB"/>
        </w:rPr>
        <w:t>chart</w:t>
      </w:r>
      <w:r w:rsidR="00013ED5">
        <w:rPr>
          <w:lang w:val="en-GB"/>
        </w:rPr>
        <w:t>s</w:t>
      </w:r>
      <w:r>
        <w:rPr>
          <w:lang w:val="en-GB"/>
        </w:rPr>
        <w:t xml:space="preserve"> attached. </w:t>
      </w:r>
    </w:p>
    <w:p w14:paraId="2372DFB6" w14:textId="5C3FD288" w:rsidR="00F86579" w:rsidRDefault="00C31E52" w:rsidP="00510A42">
      <w:pPr>
        <w:spacing w:line="240" w:lineRule="auto"/>
        <w:jc w:val="both"/>
        <w:rPr>
          <w:lang w:val="en-GB"/>
        </w:rPr>
      </w:pPr>
      <w:r>
        <w:rPr>
          <w:lang w:val="en-GB"/>
        </w:rPr>
        <w:t xml:space="preserve">We have voted </w:t>
      </w:r>
      <w:r w:rsidR="00E0479D">
        <w:rPr>
          <w:lang w:val="en-GB"/>
        </w:rPr>
        <w:t>all</w:t>
      </w:r>
      <w:r w:rsidR="006B6F57">
        <w:rPr>
          <w:lang w:val="en-GB"/>
        </w:rPr>
        <w:t xml:space="preserve"> our positions - </w:t>
      </w:r>
      <w:r>
        <w:rPr>
          <w:lang w:val="en-GB"/>
        </w:rPr>
        <w:t xml:space="preserve">29 </w:t>
      </w:r>
      <w:r w:rsidR="00DB699D">
        <w:rPr>
          <w:lang w:val="en-GB"/>
        </w:rPr>
        <w:t xml:space="preserve">out </w:t>
      </w:r>
      <w:r>
        <w:rPr>
          <w:lang w:val="en-GB"/>
        </w:rPr>
        <w:t xml:space="preserve">of 29 </w:t>
      </w:r>
      <w:r w:rsidR="00D70A85">
        <w:rPr>
          <w:lang w:val="en-GB"/>
        </w:rPr>
        <w:t>securities</w:t>
      </w:r>
      <w:r w:rsidR="00F86579">
        <w:rPr>
          <w:lang w:val="en-GB"/>
        </w:rPr>
        <w:t xml:space="preserve">. </w:t>
      </w:r>
      <w:r w:rsidR="00BA0AAD">
        <w:rPr>
          <w:lang w:val="en-GB"/>
        </w:rPr>
        <w:t xml:space="preserve">There were a total of 326 </w:t>
      </w:r>
      <w:r w:rsidR="00DB699D">
        <w:rPr>
          <w:lang w:val="en-GB"/>
        </w:rPr>
        <w:t xml:space="preserve">management and shareholder </w:t>
      </w:r>
      <w:r w:rsidR="00BA0AAD">
        <w:rPr>
          <w:lang w:val="en-GB"/>
        </w:rPr>
        <w:t>proposals.</w:t>
      </w:r>
      <w:r w:rsidR="007D0239">
        <w:rPr>
          <w:lang w:val="en-GB"/>
        </w:rPr>
        <w:t xml:space="preserve"> </w:t>
      </w:r>
      <w:r w:rsidR="00CA627A">
        <w:rPr>
          <w:lang w:val="en-GB"/>
        </w:rPr>
        <w:t xml:space="preserve">We </w:t>
      </w:r>
      <w:r w:rsidR="002F2991">
        <w:rPr>
          <w:lang w:val="en-GB"/>
        </w:rPr>
        <w:t>did not support</w:t>
      </w:r>
      <w:r w:rsidR="00CA627A">
        <w:rPr>
          <w:lang w:val="en-GB"/>
        </w:rPr>
        <w:t xml:space="preserve"> management on 25 of</w:t>
      </w:r>
      <w:r w:rsidR="00680E1B">
        <w:rPr>
          <w:lang w:val="en-GB"/>
        </w:rPr>
        <w:t xml:space="preserve"> 317</w:t>
      </w:r>
      <w:r w:rsidR="00CA627A">
        <w:rPr>
          <w:lang w:val="en-GB"/>
        </w:rPr>
        <w:t xml:space="preserve"> </w:t>
      </w:r>
      <w:r w:rsidR="006B6F57">
        <w:rPr>
          <w:lang w:val="en-GB"/>
        </w:rPr>
        <w:t xml:space="preserve">management </w:t>
      </w:r>
      <w:r w:rsidR="00CA627A">
        <w:rPr>
          <w:lang w:val="en-GB"/>
        </w:rPr>
        <w:t xml:space="preserve">proposals and supported </w:t>
      </w:r>
      <w:r w:rsidR="00F03655">
        <w:rPr>
          <w:lang w:val="en-GB"/>
        </w:rPr>
        <w:t>4 of 9 shareholder proposals</w:t>
      </w:r>
      <w:r w:rsidR="00E878FD">
        <w:rPr>
          <w:lang w:val="en-GB"/>
        </w:rPr>
        <w:t xml:space="preserve">. In total there were 326 proposals </w:t>
      </w:r>
      <w:r w:rsidR="00B633DB">
        <w:rPr>
          <w:lang w:val="en-GB"/>
        </w:rPr>
        <w:t xml:space="preserve">and we voted against 30 of them. Abstained on none. </w:t>
      </w:r>
    </w:p>
    <w:p w14:paraId="185C71BD" w14:textId="1191A591" w:rsidR="006D2B4A" w:rsidRDefault="006D2B4A" w:rsidP="00510A42">
      <w:pPr>
        <w:spacing w:line="240" w:lineRule="auto"/>
        <w:jc w:val="both"/>
        <w:rPr>
          <w:lang w:val="en-GB"/>
        </w:rPr>
      </w:pPr>
      <w:r>
        <w:rPr>
          <w:lang w:val="en-GB"/>
        </w:rPr>
        <w:t xml:space="preserve">Looking explicitly at </w:t>
      </w:r>
      <w:r w:rsidR="00950D1B">
        <w:rPr>
          <w:lang w:val="en-GB"/>
        </w:rPr>
        <w:t>v</w:t>
      </w:r>
      <w:r>
        <w:rPr>
          <w:lang w:val="en-GB"/>
        </w:rPr>
        <w:t>oting against management</w:t>
      </w:r>
      <w:r w:rsidR="00950D1B">
        <w:rPr>
          <w:lang w:val="en-GB"/>
        </w:rPr>
        <w:t>, o</w:t>
      </w:r>
      <w:r>
        <w:rPr>
          <w:lang w:val="en-GB"/>
        </w:rPr>
        <w:t xml:space="preserve">ur most frequent area of concern that we express through voting is with Board level governance – usually double hatting, and independence of directors. Compensation – with poorly specified or unchallenging targets is another area of ongoing frustration. There was only one explicitly environmental vote in which we did not support a poorly conceived shareholder proposal – </w:t>
      </w:r>
      <w:r w:rsidR="001316A9">
        <w:rPr>
          <w:lang w:val="en-GB"/>
        </w:rPr>
        <w:t>in line</w:t>
      </w:r>
      <w:r>
        <w:rPr>
          <w:lang w:val="en-GB"/>
        </w:rPr>
        <w:t xml:space="preserve"> with our proxy advisory recommendation.</w:t>
      </w:r>
    </w:p>
    <w:p w14:paraId="06A661CB" w14:textId="3150D1D6" w:rsidR="002206B0" w:rsidRPr="00C31E52" w:rsidRDefault="00597BA5" w:rsidP="00510A42">
      <w:pPr>
        <w:spacing w:line="240" w:lineRule="auto"/>
        <w:jc w:val="both"/>
        <w:rPr>
          <w:lang w:val="en-GB"/>
        </w:rPr>
      </w:pPr>
      <w:r w:rsidRPr="00597BA5">
        <w:rPr>
          <w:noProof/>
          <w:lang w:val="en-GB"/>
        </w:rPr>
        <w:drawing>
          <wp:inline distT="0" distB="0" distL="0" distR="0" wp14:anchorId="048ED37D" wp14:editId="6480BE1F">
            <wp:extent cx="5760720" cy="19018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901825"/>
                    </a:xfrm>
                    <a:prstGeom prst="rect">
                      <a:avLst/>
                    </a:prstGeom>
                  </pic:spPr>
                </pic:pic>
              </a:graphicData>
            </a:graphic>
          </wp:inline>
        </w:drawing>
      </w:r>
    </w:p>
    <w:p w14:paraId="7E73B08E" w14:textId="00FD5B3F" w:rsidR="00B633DB" w:rsidRDefault="00D003AA" w:rsidP="00510A42">
      <w:pPr>
        <w:spacing w:line="240" w:lineRule="auto"/>
        <w:jc w:val="both"/>
        <w:rPr>
          <w:lang w:val="en-GB"/>
        </w:rPr>
      </w:pPr>
      <w:r>
        <w:rPr>
          <w:lang w:val="en-GB"/>
        </w:rPr>
        <w:t>The overwhelming majority of votes are about approval of financial reports and appointment of directors.</w:t>
      </w:r>
      <w:r w:rsidR="007106CA">
        <w:rPr>
          <w:lang w:val="en-GB"/>
        </w:rPr>
        <w:t xml:space="preserve"> The number of expressly </w:t>
      </w:r>
      <w:r w:rsidR="005541F4">
        <w:rPr>
          <w:lang w:val="en-GB"/>
        </w:rPr>
        <w:t xml:space="preserve">Environmental </w:t>
      </w:r>
      <w:r w:rsidR="006D2B4A">
        <w:rPr>
          <w:lang w:val="en-GB"/>
        </w:rPr>
        <w:t xml:space="preserve">(1) </w:t>
      </w:r>
      <w:r w:rsidR="005541F4">
        <w:rPr>
          <w:lang w:val="en-GB"/>
        </w:rPr>
        <w:t xml:space="preserve">or Social </w:t>
      </w:r>
      <w:r w:rsidR="006D2B4A">
        <w:rPr>
          <w:lang w:val="en-GB"/>
        </w:rPr>
        <w:t xml:space="preserve">(0) </w:t>
      </w:r>
      <w:r w:rsidR="005541F4">
        <w:rPr>
          <w:lang w:val="en-GB"/>
        </w:rPr>
        <w:t xml:space="preserve">proposals was very low. </w:t>
      </w:r>
    </w:p>
    <w:p w14:paraId="7AC2CE54" w14:textId="77777777" w:rsidR="00A83EC7" w:rsidRPr="00A83EC7" w:rsidRDefault="00A83EC7" w:rsidP="00A83EC7">
      <w:pPr>
        <w:rPr>
          <w:lang w:val="en-GB"/>
        </w:rPr>
      </w:pPr>
    </w:p>
    <w:p w14:paraId="2615285A" w14:textId="77777777" w:rsidR="00A83EC7" w:rsidRPr="00A83EC7" w:rsidRDefault="00A83EC7" w:rsidP="00A83EC7">
      <w:pPr>
        <w:rPr>
          <w:lang w:val="en-GB"/>
        </w:rPr>
      </w:pPr>
    </w:p>
    <w:p w14:paraId="3764B8EB" w14:textId="77777777" w:rsidR="00A83EC7" w:rsidRPr="00A83EC7" w:rsidRDefault="00A83EC7" w:rsidP="00A83EC7">
      <w:pPr>
        <w:rPr>
          <w:lang w:val="en-GB"/>
        </w:rPr>
      </w:pPr>
    </w:p>
    <w:p w14:paraId="40DAE455" w14:textId="77777777" w:rsidR="00A83EC7" w:rsidRPr="00A83EC7" w:rsidRDefault="00A83EC7" w:rsidP="00A83EC7">
      <w:pPr>
        <w:rPr>
          <w:lang w:val="en-GB"/>
        </w:rPr>
      </w:pPr>
    </w:p>
    <w:p w14:paraId="60481944" w14:textId="77777777" w:rsidR="00A83EC7" w:rsidRPr="00A83EC7" w:rsidRDefault="00A83EC7" w:rsidP="00A83EC7">
      <w:pPr>
        <w:rPr>
          <w:lang w:val="en-GB"/>
        </w:rPr>
      </w:pPr>
    </w:p>
    <w:p w14:paraId="5B4BA3CB" w14:textId="77777777" w:rsidR="00A83EC7" w:rsidRPr="00A83EC7" w:rsidRDefault="00A83EC7" w:rsidP="00A83EC7">
      <w:pPr>
        <w:rPr>
          <w:lang w:val="en-GB"/>
        </w:rPr>
      </w:pPr>
    </w:p>
    <w:p w14:paraId="087FFBEB" w14:textId="77777777" w:rsidR="00A83EC7" w:rsidRPr="00A83EC7" w:rsidRDefault="00A83EC7" w:rsidP="00A83EC7">
      <w:pPr>
        <w:jc w:val="center"/>
        <w:rPr>
          <w:lang w:val="en-GB"/>
        </w:rPr>
      </w:pPr>
    </w:p>
    <w:p w14:paraId="47015677" w14:textId="52EC02B0" w:rsidR="00DF1B94" w:rsidRDefault="003500D3" w:rsidP="00510A42">
      <w:pPr>
        <w:spacing w:line="240" w:lineRule="auto"/>
        <w:jc w:val="both"/>
        <w:rPr>
          <w:lang w:val="en-GB"/>
        </w:rPr>
      </w:pPr>
      <w:r w:rsidRPr="003500D3">
        <w:rPr>
          <w:noProof/>
          <w:lang w:val="en-GB"/>
        </w:rPr>
        <w:lastRenderedPageBreak/>
        <w:drawing>
          <wp:inline distT="0" distB="0" distL="0" distR="0" wp14:anchorId="432FFD2E" wp14:editId="56EAF3D3">
            <wp:extent cx="5760720" cy="2940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0685"/>
                    </a:xfrm>
                    <a:prstGeom prst="rect">
                      <a:avLst/>
                    </a:prstGeom>
                  </pic:spPr>
                </pic:pic>
              </a:graphicData>
            </a:graphic>
          </wp:inline>
        </w:drawing>
      </w:r>
    </w:p>
    <w:p w14:paraId="3C2C0A36" w14:textId="4F34BEC3" w:rsidR="00FE3772" w:rsidRDefault="003500D3" w:rsidP="00510A42">
      <w:pPr>
        <w:spacing w:line="240" w:lineRule="auto"/>
        <w:jc w:val="both"/>
        <w:rPr>
          <w:lang w:val="en-GB"/>
        </w:rPr>
      </w:pPr>
      <w:r w:rsidRPr="003500D3">
        <w:rPr>
          <w:noProof/>
          <w:lang w:val="en-GB"/>
        </w:rPr>
        <w:drawing>
          <wp:inline distT="0" distB="0" distL="0" distR="0" wp14:anchorId="35871B4D" wp14:editId="534AE8BE">
            <wp:extent cx="5760720" cy="28543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854325"/>
                    </a:xfrm>
                    <a:prstGeom prst="rect">
                      <a:avLst/>
                    </a:prstGeom>
                  </pic:spPr>
                </pic:pic>
              </a:graphicData>
            </a:graphic>
          </wp:inline>
        </w:drawing>
      </w:r>
    </w:p>
    <w:p w14:paraId="0DAF177E" w14:textId="61C00253" w:rsidR="00B633DB" w:rsidRDefault="001316A9" w:rsidP="00510A42">
      <w:pPr>
        <w:spacing w:line="240" w:lineRule="auto"/>
        <w:jc w:val="both"/>
        <w:rPr>
          <w:lang w:val="en-GB"/>
        </w:rPr>
      </w:pPr>
      <w:r w:rsidRPr="001316A9">
        <w:rPr>
          <w:noProof/>
          <w:lang w:val="en-GB"/>
        </w:rPr>
        <w:drawing>
          <wp:inline distT="0" distB="0" distL="0" distR="0" wp14:anchorId="1E260C03" wp14:editId="1CF2C78D">
            <wp:extent cx="5760720" cy="2834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834640"/>
                    </a:xfrm>
                    <a:prstGeom prst="rect">
                      <a:avLst/>
                    </a:prstGeom>
                  </pic:spPr>
                </pic:pic>
              </a:graphicData>
            </a:graphic>
          </wp:inline>
        </w:drawing>
      </w:r>
    </w:p>
    <w:p w14:paraId="43AF2D23" w14:textId="77777777" w:rsidR="007035AB" w:rsidRPr="001F529E" w:rsidRDefault="007035AB" w:rsidP="0064788C">
      <w:pPr>
        <w:pStyle w:val="ListParagraph"/>
        <w:numPr>
          <w:ilvl w:val="0"/>
          <w:numId w:val="2"/>
        </w:numPr>
        <w:spacing w:line="240" w:lineRule="auto"/>
        <w:rPr>
          <w:b/>
          <w:bCs/>
          <w:lang w:val="en-GB"/>
        </w:rPr>
      </w:pPr>
      <w:r>
        <w:rPr>
          <w:b/>
          <w:bCs/>
          <w:lang w:val="en-GB"/>
        </w:rPr>
        <w:lastRenderedPageBreak/>
        <w:t>Involvement of</w:t>
      </w:r>
      <w:r w:rsidRPr="00F56C4A">
        <w:rPr>
          <w:b/>
          <w:bCs/>
          <w:lang w:val="en-GB"/>
        </w:rPr>
        <w:t xml:space="preserve"> the fund management team in the decision how to vote</w:t>
      </w:r>
      <w:r>
        <w:rPr>
          <w:b/>
          <w:bCs/>
          <w:lang w:val="en-GB"/>
        </w:rPr>
        <w:t>.</w:t>
      </w:r>
    </w:p>
    <w:p w14:paraId="4FB39788" w14:textId="38926752" w:rsidR="00747923" w:rsidRDefault="00AF7719" w:rsidP="00C957CA">
      <w:pPr>
        <w:spacing w:line="240" w:lineRule="auto"/>
        <w:jc w:val="both"/>
        <w:rPr>
          <w:lang w:val="en-GB"/>
        </w:rPr>
      </w:pPr>
      <w:r>
        <w:rPr>
          <w:lang w:val="en-GB"/>
        </w:rPr>
        <w:t>The votes are always decided by the fund management team on an individual case by case basis</w:t>
      </w:r>
      <w:r w:rsidR="00BD28F0">
        <w:rPr>
          <w:lang w:val="en-GB"/>
        </w:rPr>
        <w:t xml:space="preserve"> </w:t>
      </w:r>
      <w:r w:rsidR="001316A9">
        <w:rPr>
          <w:lang w:val="en-GB"/>
        </w:rPr>
        <w:t>in line</w:t>
      </w:r>
      <w:r w:rsidR="00BD28F0">
        <w:rPr>
          <w:lang w:val="en-GB"/>
        </w:rPr>
        <w:t xml:space="preserve"> with our voting principles</w:t>
      </w:r>
      <w:r>
        <w:rPr>
          <w:lang w:val="en-GB"/>
        </w:rPr>
        <w:t xml:space="preserve">. </w:t>
      </w:r>
      <w:r w:rsidR="00AB77A2">
        <w:rPr>
          <w:lang w:val="en-GB"/>
        </w:rPr>
        <w:t>We voted against the recommendation of our Proxy Company 9 times</w:t>
      </w:r>
      <w:r w:rsidR="000B3DDE">
        <w:rPr>
          <w:lang w:val="en-GB"/>
        </w:rPr>
        <w:t xml:space="preserve">. </w:t>
      </w:r>
      <w:r w:rsidR="0081319B">
        <w:rPr>
          <w:lang w:val="en-GB"/>
        </w:rPr>
        <w:t xml:space="preserve">6 of these relate to the board and 3 to Governance. </w:t>
      </w:r>
      <w:r w:rsidR="00BB390B">
        <w:rPr>
          <w:lang w:val="en-GB"/>
        </w:rPr>
        <w:t xml:space="preserve">Often their </w:t>
      </w:r>
      <w:r w:rsidR="00BD28F0">
        <w:rPr>
          <w:lang w:val="en-GB"/>
        </w:rPr>
        <w:t>rules-based</w:t>
      </w:r>
      <w:r w:rsidR="00BB390B">
        <w:rPr>
          <w:lang w:val="en-GB"/>
        </w:rPr>
        <w:t xml:space="preserve"> systems neglect the spec</w:t>
      </w:r>
      <w:r w:rsidR="00414143">
        <w:rPr>
          <w:lang w:val="en-GB"/>
        </w:rPr>
        <w:t>ific</w:t>
      </w:r>
      <w:r w:rsidR="00BB390B">
        <w:rPr>
          <w:lang w:val="en-GB"/>
        </w:rPr>
        <w:t xml:space="preserve">s of the situation – or where we feel continued constructive engagement </w:t>
      </w:r>
      <w:r w:rsidR="00F00331">
        <w:rPr>
          <w:lang w:val="en-GB"/>
        </w:rPr>
        <w:t>by supporting management could be more effective.</w:t>
      </w:r>
      <w:r w:rsidR="00715F66">
        <w:rPr>
          <w:lang w:val="en-GB"/>
        </w:rPr>
        <w:t xml:space="preserve"> In </w:t>
      </w:r>
      <w:r w:rsidR="00BD28F0">
        <w:rPr>
          <w:lang w:val="en-GB"/>
        </w:rPr>
        <w:t>general,</w:t>
      </w:r>
      <w:r w:rsidR="00715F66">
        <w:rPr>
          <w:lang w:val="en-GB"/>
        </w:rPr>
        <w:t xml:space="preserve"> we do not disagree with their principles but rather the application. </w:t>
      </w:r>
    </w:p>
    <w:p w14:paraId="4559E1CA" w14:textId="46FC9C84" w:rsidR="000B3DDE" w:rsidRPr="00747923" w:rsidRDefault="0081319B" w:rsidP="00510A42">
      <w:pPr>
        <w:spacing w:line="240" w:lineRule="auto"/>
        <w:jc w:val="both"/>
        <w:rPr>
          <w:lang w:val="en-GB"/>
        </w:rPr>
      </w:pPr>
      <w:r w:rsidRPr="0081319B">
        <w:rPr>
          <w:noProof/>
          <w:lang w:val="en-GB"/>
        </w:rPr>
        <w:drawing>
          <wp:inline distT="0" distB="0" distL="0" distR="0" wp14:anchorId="640D4027" wp14:editId="1A074125">
            <wp:extent cx="5760720" cy="1615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615440"/>
                    </a:xfrm>
                    <a:prstGeom prst="rect">
                      <a:avLst/>
                    </a:prstGeom>
                  </pic:spPr>
                </pic:pic>
              </a:graphicData>
            </a:graphic>
          </wp:inline>
        </w:drawing>
      </w:r>
    </w:p>
    <w:p w14:paraId="7DF571B2" w14:textId="77777777" w:rsidR="0064788C" w:rsidRDefault="0064788C" w:rsidP="0064788C">
      <w:pPr>
        <w:spacing w:line="240" w:lineRule="auto"/>
        <w:jc w:val="both"/>
        <w:rPr>
          <w:lang w:val="en-GB"/>
        </w:rPr>
      </w:pPr>
    </w:p>
    <w:p w14:paraId="2E7B56DD" w14:textId="77777777" w:rsidR="003845D2" w:rsidRDefault="00FC1EB7" w:rsidP="00510A42">
      <w:pPr>
        <w:pStyle w:val="ListParagraph"/>
        <w:numPr>
          <w:ilvl w:val="0"/>
          <w:numId w:val="1"/>
        </w:numPr>
        <w:spacing w:line="240" w:lineRule="auto"/>
        <w:jc w:val="both"/>
        <w:rPr>
          <w:b/>
          <w:lang w:val="en-GB"/>
        </w:rPr>
      </w:pPr>
      <w:r>
        <w:rPr>
          <w:b/>
          <w:lang w:val="en-GB"/>
        </w:rPr>
        <w:t xml:space="preserve">ESG TRANSPARENCY, ANALYSIS AND ENGAGEMENT </w:t>
      </w:r>
    </w:p>
    <w:p w14:paraId="6FA62675" w14:textId="24A18771" w:rsidR="003845D2" w:rsidRDefault="003845D2" w:rsidP="00510A42">
      <w:pPr>
        <w:pStyle w:val="ListParagraph"/>
        <w:jc w:val="both"/>
        <w:rPr>
          <w:lang w:val="en-GB"/>
        </w:rPr>
      </w:pPr>
    </w:p>
    <w:p w14:paraId="455D408F" w14:textId="6EB539E7" w:rsidR="00D770D4" w:rsidRDefault="009C5DDC" w:rsidP="00E66FB3">
      <w:pPr>
        <w:pStyle w:val="ListParagraph"/>
        <w:ind w:left="0"/>
        <w:jc w:val="both"/>
        <w:rPr>
          <w:lang w:val="en-GB"/>
        </w:rPr>
      </w:pPr>
      <w:r>
        <w:rPr>
          <w:lang w:val="en-GB"/>
        </w:rPr>
        <w:t>The nature of our focus on very undervalued</w:t>
      </w:r>
      <w:r w:rsidR="00913F1E">
        <w:rPr>
          <w:lang w:val="en-GB"/>
        </w:rPr>
        <w:t xml:space="preserve">, under researched </w:t>
      </w:r>
      <w:r w:rsidR="00D770D4">
        <w:rPr>
          <w:lang w:val="en-GB"/>
        </w:rPr>
        <w:t>companies</w:t>
      </w:r>
      <w:r w:rsidR="00EA08EC">
        <w:rPr>
          <w:lang w:val="en-GB"/>
        </w:rPr>
        <w:t xml:space="preserve">, it </w:t>
      </w:r>
      <w:r w:rsidR="00913F1E">
        <w:rPr>
          <w:lang w:val="en-GB"/>
        </w:rPr>
        <w:t>usual</w:t>
      </w:r>
      <w:r w:rsidR="00EA08EC">
        <w:rPr>
          <w:lang w:val="en-GB"/>
        </w:rPr>
        <w:t>ly</w:t>
      </w:r>
      <w:r w:rsidR="00913F1E">
        <w:rPr>
          <w:lang w:val="en-GB"/>
        </w:rPr>
        <w:t xml:space="preserve"> means that engagement of some kind is required to help unlock the value that we see. </w:t>
      </w:r>
      <w:r w:rsidR="00D770D4">
        <w:rPr>
          <w:lang w:val="en-GB"/>
        </w:rPr>
        <w:t>Consequently,</w:t>
      </w:r>
      <w:r w:rsidR="00913F1E">
        <w:rPr>
          <w:lang w:val="en-GB"/>
        </w:rPr>
        <w:t xml:space="preserve"> a very high </w:t>
      </w:r>
      <w:r w:rsidR="00D770D4">
        <w:rPr>
          <w:lang w:val="en-GB"/>
        </w:rPr>
        <w:t>percentage</w:t>
      </w:r>
      <w:r w:rsidR="00913F1E">
        <w:rPr>
          <w:lang w:val="en-GB"/>
        </w:rPr>
        <w:t xml:space="preserve"> of our portfolio </w:t>
      </w:r>
      <w:r w:rsidR="00D770D4">
        <w:rPr>
          <w:lang w:val="en-GB"/>
        </w:rPr>
        <w:t xml:space="preserve">is subject to engagement on governance, operational performance, and sustainability (ESG). </w:t>
      </w:r>
      <w:r w:rsidR="00D303C2">
        <w:rPr>
          <w:lang w:val="en-GB"/>
        </w:rPr>
        <w:t>The ongoing revolution in Corporate Governance in Japan is coincidental with the global focus on Sustainability. Frequently</w:t>
      </w:r>
      <w:r w:rsidR="00ED0CBF">
        <w:rPr>
          <w:lang w:val="en-GB"/>
        </w:rPr>
        <w:t>,</w:t>
      </w:r>
      <w:r w:rsidR="00D303C2">
        <w:rPr>
          <w:lang w:val="en-GB"/>
        </w:rPr>
        <w:t xml:space="preserve"> these go hand in hand. </w:t>
      </w:r>
      <w:r w:rsidR="003165FE">
        <w:rPr>
          <w:lang w:val="en-GB"/>
        </w:rPr>
        <w:t>Without go</w:t>
      </w:r>
      <w:r w:rsidR="00160E1A">
        <w:rPr>
          <w:lang w:val="en-GB"/>
        </w:rPr>
        <w:t>od governance we do not believe that a company can ever be sustainable</w:t>
      </w:r>
      <w:r w:rsidR="00BD28F1">
        <w:rPr>
          <w:lang w:val="en-GB"/>
        </w:rPr>
        <w:t>,</w:t>
      </w:r>
      <w:r w:rsidR="007F719D">
        <w:rPr>
          <w:lang w:val="en-GB"/>
        </w:rPr>
        <w:t xml:space="preserve"> so this remains a critical focus for us</w:t>
      </w:r>
      <w:r w:rsidR="00160E1A">
        <w:rPr>
          <w:lang w:val="en-GB"/>
        </w:rPr>
        <w:t xml:space="preserve">. </w:t>
      </w:r>
      <w:r w:rsidR="007166EA">
        <w:rPr>
          <w:lang w:val="en-GB"/>
        </w:rPr>
        <w:t>One of our key objectives is to work with management teams and to help them think and act like owners of the busi</w:t>
      </w:r>
      <w:r w:rsidR="00A02A30">
        <w:rPr>
          <w:lang w:val="en-GB"/>
        </w:rPr>
        <w:t>ness – oriented towards long run, per share value creation</w:t>
      </w:r>
      <w:r w:rsidR="00146203">
        <w:rPr>
          <w:lang w:val="en-GB"/>
        </w:rPr>
        <w:t xml:space="preserve"> – </w:t>
      </w:r>
      <w:r w:rsidR="00A45756">
        <w:rPr>
          <w:lang w:val="en-GB"/>
        </w:rPr>
        <w:t>fo</w:t>
      </w:r>
      <w:r w:rsidR="002F6BDE">
        <w:rPr>
          <w:lang w:val="en-GB"/>
        </w:rPr>
        <w:t>r</w:t>
      </w:r>
      <w:r w:rsidR="00A45756">
        <w:rPr>
          <w:lang w:val="en-GB"/>
        </w:rPr>
        <w:t xml:space="preserve"> us this is </w:t>
      </w:r>
      <w:r w:rsidR="00A70D47">
        <w:rPr>
          <w:lang w:val="en-GB"/>
        </w:rPr>
        <w:t>consistent</w:t>
      </w:r>
      <w:r w:rsidR="00A45756">
        <w:rPr>
          <w:lang w:val="en-GB"/>
        </w:rPr>
        <w:t xml:space="preserve"> with good </w:t>
      </w:r>
      <w:r w:rsidR="0009765D">
        <w:rPr>
          <w:lang w:val="en-GB"/>
        </w:rPr>
        <w:t>Sustainability</w:t>
      </w:r>
      <w:r w:rsidR="00A02A30">
        <w:rPr>
          <w:lang w:val="en-GB"/>
        </w:rPr>
        <w:t>.</w:t>
      </w:r>
      <w:r w:rsidR="002B1739">
        <w:rPr>
          <w:lang w:val="en-GB"/>
        </w:rPr>
        <w:t xml:space="preserve"> We keep track of these </w:t>
      </w:r>
      <w:r w:rsidR="00B41A25">
        <w:rPr>
          <w:lang w:val="en-GB"/>
        </w:rPr>
        <w:t>activities</w:t>
      </w:r>
      <w:r w:rsidR="002B1739">
        <w:rPr>
          <w:lang w:val="en-GB"/>
        </w:rPr>
        <w:t xml:space="preserve"> </w:t>
      </w:r>
      <w:r w:rsidR="00B41A25">
        <w:rPr>
          <w:lang w:val="en-GB"/>
        </w:rPr>
        <w:t>in our Engagement Tracker.</w:t>
      </w:r>
      <w:r w:rsidR="00C870F9">
        <w:rPr>
          <w:lang w:val="en-GB"/>
        </w:rPr>
        <w:t xml:space="preserve"> </w:t>
      </w:r>
    </w:p>
    <w:p w14:paraId="50309148" w14:textId="77777777" w:rsidR="005E31D6" w:rsidRDefault="005E31D6" w:rsidP="00E66FB3">
      <w:pPr>
        <w:pStyle w:val="ListParagraph"/>
        <w:ind w:left="0"/>
        <w:jc w:val="both"/>
        <w:rPr>
          <w:lang w:val="en-GB"/>
        </w:rPr>
      </w:pPr>
    </w:p>
    <w:p w14:paraId="1D12F160" w14:textId="71A2D325" w:rsidR="00D770D4" w:rsidRDefault="00FE57A2" w:rsidP="00510A42">
      <w:pPr>
        <w:pStyle w:val="ListParagraph"/>
        <w:jc w:val="both"/>
        <w:rPr>
          <w:lang w:val="en-GB"/>
        </w:rPr>
      </w:pPr>
      <w:r>
        <w:rPr>
          <w:noProof/>
        </w:rPr>
        <w:drawing>
          <wp:inline distT="0" distB="0" distL="0" distR="0" wp14:anchorId="0E8B2B9B" wp14:editId="7744E150">
            <wp:extent cx="4552950" cy="2743200"/>
            <wp:effectExtent l="0" t="0" r="0" b="0"/>
            <wp:docPr id="7" name="Chart 7">
              <a:extLst xmlns:a="http://schemas.openxmlformats.org/drawingml/2006/main">
                <a:ext uri="{FF2B5EF4-FFF2-40B4-BE49-F238E27FC236}">
                  <a16:creationId xmlns:a16="http://schemas.microsoft.com/office/drawing/2014/main" id="{C7F94C91-FD7B-474E-9AD0-C305E9293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C6CD7C" w14:textId="77777777" w:rsidR="00FE57A2" w:rsidRDefault="00FE57A2" w:rsidP="00E66FB3">
      <w:pPr>
        <w:pStyle w:val="ListParagraph"/>
        <w:ind w:left="0"/>
        <w:jc w:val="both"/>
        <w:rPr>
          <w:lang w:val="en-GB"/>
        </w:rPr>
      </w:pPr>
    </w:p>
    <w:p w14:paraId="6DC510F8" w14:textId="240FBEDA" w:rsidR="00FE57A2" w:rsidRDefault="00FE57A2" w:rsidP="00E66FB3">
      <w:pPr>
        <w:pStyle w:val="ListParagraph"/>
        <w:ind w:left="0"/>
        <w:jc w:val="both"/>
        <w:rPr>
          <w:lang w:val="en-GB"/>
        </w:rPr>
      </w:pPr>
      <w:r>
        <w:rPr>
          <w:lang w:val="en-GB"/>
        </w:rPr>
        <w:t>This chart shows the breakdown by primary engagement focus</w:t>
      </w:r>
      <w:r w:rsidR="004748EE">
        <w:rPr>
          <w:lang w:val="en-GB"/>
        </w:rPr>
        <w:t xml:space="preserve"> for each meeting. </w:t>
      </w:r>
      <w:r w:rsidR="00A8286D">
        <w:rPr>
          <w:lang w:val="en-GB"/>
        </w:rPr>
        <w:t xml:space="preserve">Strategy is an operating focus; </w:t>
      </w:r>
      <w:r w:rsidR="00D4736F">
        <w:rPr>
          <w:lang w:val="en-GB"/>
        </w:rPr>
        <w:t xml:space="preserve">whilst </w:t>
      </w:r>
      <w:r w:rsidR="00A8286D">
        <w:rPr>
          <w:lang w:val="en-GB"/>
        </w:rPr>
        <w:t>Governance captures Board activity</w:t>
      </w:r>
      <w:r w:rsidR="00000B40">
        <w:rPr>
          <w:lang w:val="en-GB"/>
        </w:rPr>
        <w:t xml:space="preserve">, corporate </w:t>
      </w:r>
      <w:r w:rsidR="00D4736F">
        <w:rPr>
          <w:lang w:val="en-GB"/>
        </w:rPr>
        <w:t>culture,</w:t>
      </w:r>
      <w:r w:rsidR="00A8286D">
        <w:rPr>
          <w:lang w:val="en-GB"/>
        </w:rPr>
        <w:t xml:space="preserve"> and balance sheet </w:t>
      </w:r>
      <w:r w:rsidR="00A8286D">
        <w:rPr>
          <w:lang w:val="en-GB"/>
        </w:rPr>
        <w:lastRenderedPageBreak/>
        <w:t>reform</w:t>
      </w:r>
      <w:r w:rsidR="00D4736F">
        <w:rPr>
          <w:lang w:val="en-GB"/>
        </w:rPr>
        <w:t>;</w:t>
      </w:r>
      <w:r w:rsidR="00944E68">
        <w:rPr>
          <w:lang w:val="en-GB"/>
        </w:rPr>
        <w:t xml:space="preserve"> Environmental is more than just carbon focused but this is a</w:t>
      </w:r>
      <w:r w:rsidR="00D4736F">
        <w:rPr>
          <w:lang w:val="en-GB"/>
        </w:rPr>
        <w:t xml:space="preserve"> focus</w:t>
      </w:r>
      <w:r w:rsidR="00944E68">
        <w:rPr>
          <w:lang w:val="en-GB"/>
        </w:rPr>
        <w:t xml:space="preserve"> area of interaction with companies</w:t>
      </w:r>
      <w:r w:rsidR="00282866">
        <w:rPr>
          <w:lang w:val="en-GB"/>
        </w:rPr>
        <w:t xml:space="preserve"> for us</w:t>
      </w:r>
      <w:r w:rsidR="00944E68">
        <w:rPr>
          <w:lang w:val="en-GB"/>
        </w:rPr>
        <w:t xml:space="preserve">. </w:t>
      </w:r>
    </w:p>
    <w:p w14:paraId="08904488" w14:textId="77777777" w:rsidR="00FE57A2" w:rsidRDefault="00FE57A2" w:rsidP="00E66FB3">
      <w:pPr>
        <w:pStyle w:val="ListParagraph"/>
        <w:ind w:left="0"/>
        <w:jc w:val="both"/>
        <w:rPr>
          <w:lang w:val="en-GB"/>
        </w:rPr>
      </w:pPr>
    </w:p>
    <w:p w14:paraId="63D5B431" w14:textId="363FD73B" w:rsidR="0061660F" w:rsidRDefault="0061660F" w:rsidP="00E66FB3">
      <w:pPr>
        <w:pStyle w:val="ListParagraph"/>
        <w:ind w:left="0"/>
        <w:jc w:val="both"/>
        <w:rPr>
          <w:lang w:val="en-GB"/>
        </w:rPr>
      </w:pPr>
      <w:r>
        <w:rPr>
          <w:lang w:val="en-GB"/>
        </w:rPr>
        <w:t xml:space="preserve">Zennor has had </w:t>
      </w:r>
      <w:r w:rsidR="00C96792">
        <w:rPr>
          <w:lang w:val="en-GB"/>
        </w:rPr>
        <w:t>circa 60</w:t>
      </w:r>
      <w:r>
        <w:rPr>
          <w:lang w:val="en-GB"/>
        </w:rPr>
        <w:t xml:space="preserve"> contacts </w:t>
      </w:r>
      <w:r w:rsidR="006941C3">
        <w:rPr>
          <w:lang w:val="en-GB"/>
        </w:rPr>
        <w:t>regarding</w:t>
      </w:r>
      <w:r>
        <w:rPr>
          <w:lang w:val="en-GB"/>
        </w:rPr>
        <w:t xml:space="preserve"> investments or potential investments</w:t>
      </w:r>
      <w:r w:rsidR="000F317A">
        <w:rPr>
          <w:lang w:val="en-GB"/>
        </w:rPr>
        <w:t xml:space="preserve"> over the period under review. </w:t>
      </w:r>
      <w:r w:rsidR="00A31BA2">
        <w:rPr>
          <w:lang w:val="en-GB"/>
        </w:rPr>
        <w:t>We have had calls and contacts with companies beyond this that are not rated as bein</w:t>
      </w:r>
      <w:r w:rsidR="00E81449">
        <w:rPr>
          <w:lang w:val="en-GB"/>
        </w:rPr>
        <w:t xml:space="preserve">g </w:t>
      </w:r>
      <w:r w:rsidR="00A31BA2">
        <w:rPr>
          <w:lang w:val="en-GB"/>
        </w:rPr>
        <w:t xml:space="preserve">specifically targeted </w:t>
      </w:r>
      <w:r w:rsidR="00C96792">
        <w:rPr>
          <w:lang w:val="en-GB"/>
        </w:rPr>
        <w:t>‘</w:t>
      </w:r>
      <w:r w:rsidR="00A31BA2">
        <w:rPr>
          <w:lang w:val="en-GB"/>
        </w:rPr>
        <w:t>engagement</w:t>
      </w:r>
      <w:r w:rsidR="00943020">
        <w:rPr>
          <w:lang w:val="en-GB"/>
        </w:rPr>
        <w:t>s</w:t>
      </w:r>
      <w:r w:rsidR="00C96792">
        <w:rPr>
          <w:lang w:val="en-GB"/>
        </w:rPr>
        <w:t>’</w:t>
      </w:r>
      <w:r w:rsidR="00943020">
        <w:rPr>
          <w:lang w:val="en-GB"/>
        </w:rPr>
        <w:t xml:space="preserve"> </w:t>
      </w:r>
      <w:r w:rsidR="00C96792">
        <w:rPr>
          <w:lang w:val="en-GB"/>
        </w:rPr>
        <w:t xml:space="preserve">but </w:t>
      </w:r>
      <w:r w:rsidR="00943020">
        <w:rPr>
          <w:lang w:val="en-GB"/>
        </w:rPr>
        <w:t>where</w:t>
      </w:r>
      <w:r w:rsidR="00E81449">
        <w:rPr>
          <w:lang w:val="en-GB"/>
        </w:rPr>
        <w:t xml:space="preserve"> </w:t>
      </w:r>
      <w:r w:rsidR="00C96792">
        <w:rPr>
          <w:lang w:val="en-GB"/>
        </w:rPr>
        <w:t xml:space="preserve">we </w:t>
      </w:r>
      <w:r w:rsidR="00E81449">
        <w:rPr>
          <w:lang w:val="en-GB"/>
        </w:rPr>
        <w:t>also look at Sustainability in those meetings</w:t>
      </w:r>
      <w:r w:rsidR="00BE2986">
        <w:rPr>
          <w:lang w:val="en-GB"/>
        </w:rPr>
        <w:t xml:space="preserve">. We do not </w:t>
      </w:r>
      <w:r w:rsidR="006941C3">
        <w:rPr>
          <w:lang w:val="en-GB"/>
        </w:rPr>
        <w:t xml:space="preserve">usually </w:t>
      </w:r>
      <w:r w:rsidR="00BE2986">
        <w:rPr>
          <w:lang w:val="en-GB"/>
        </w:rPr>
        <w:t xml:space="preserve">record contact with analysts as engagements although this can </w:t>
      </w:r>
      <w:r w:rsidR="008F5295">
        <w:rPr>
          <w:lang w:val="en-GB"/>
        </w:rPr>
        <w:t>sometimes</w:t>
      </w:r>
      <w:r w:rsidR="00BE2986">
        <w:rPr>
          <w:lang w:val="en-GB"/>
        </w:rPr>
        <w:t xml:space="preserve"> be a ‘back channel’ to companies and a way of </w:t>
      </w:r>
      <w:r w:rsidR="006941C3">
        <w:rPr>
          <w:lang w:val="en-GB"/>
        </w:rPr>
        <w:t xml:space="preserve">understanding other investor concerns. </w:t>
      </w:r>
      <w:r w:rsidR="00E81449">
        <w:rPr>
          <w:lang w:val="en-GB"/>
        </w:rPr>
        <w:t xml:space="preserve">  </w:t>
      </w:r>
    </w:p>
    <w:p w14:paraId="4A18837D" w14:textId="77777777" w:rsidR="00944366" w:rsidRDefault="00944366" w:rsidP="00510A42">
      <w:pPr>
        <w:pStyle w:val="ListParagraph"/>
        <w:jc w:val="both"/>
        <w:rPr>
          <w:lang w:val="en-GB"/>
        </w:rPr>
      </w:pPr>
    </w:p>
    <w:p w14:paraId="419EE89F" w14:textId="64FD6F8C" w:rsidR="00944366" w:rsidRDefault="00944366" w:rsidP="00E66FB3">
      <w:pPr>
        <w:pStyle w:val="ListParagraph"/>
        <w:ind w:left="0"/>
        <w:jc w:val="both"/>
        <w:rPr>
          <w:lang w:val="en-GB"/>
        </w:rPr>
      </w:pPr>
      <w:r>
        <w:rPr>
          <w:lang w:val="en-GB"/>
        </w:rPr>
        <w:t>One case where we have had</w:t>
      </w:r>
      <w:r w:rsidR="00433B4B">
        <w:rPr>
          <w:lang w:val="en-GB"/>
        </w:rPr>
        <w:t xml:space="preserve"> </w:t>
      </w:r>
      <w:r>
        <w:rPr>
          <w:lang w:val="en-GB"/>
        </w:rPr>
        <w:t xml:space="preserve">impact is at </w:t>
      </w:r>
      <w:proofErr w:type="spellStart"/>
      <w:r>
        <w:rPr>
          <w:lang w:val="en-GB"/>
        </w:rPr>
        <w:t>Orix</w:t>
      </w:r>
      <w:proofErr w:type="spellEnd"/>
      <w:r>
        <w:rPr>
          <w:lang w:val="en-GB"/>
        </w:rPr>
        <w:t>.</w:t>
      </w:r>
      <w:r w:rsidR="0003431D" w:rsidRPr="0003431D">
        <w:rPr>
          <w:lang w:val="en-GB"/>
        </w:rPr>
        <w:t xml:space="preserve"> </w:t>
      </w:r>
      <w:r w:rsidR="0003431D">
        <w:rPr>
          <w:lang w:val="en-GB"/>
        </w:rPr>
        <w:t>Zennor’s vision was presented to the CEO and operating division managers.</w:t>
      </w:r>
      <w:r>
        <w:rPr>
          <w:lang w:val="en-GB"/>
        </w:rPr>
        <w:t xml:space="preserve"> </w:t>
      </w:r>
      <w:r w:rsidR="003F4B6C">
        <w:rPr>
          <w:lang w:val="en-GB"/>
        </w:rPr>
        <w:t>Our thesis that they should shift their business model towards a capital light strategy resonates with many senior members of the leadership team.</w:t>
      </w:r>
      <w:r w:rsidR="00ED701E">
        <w:rPr>
          <w:lang w:val="en-GB"/>
        </w:rPr>
        <w:t xml:space="preserve"> We also asked them to improve their Sustainability disclosure and to </w:t>
      </w:r>
      <w:r w:rsidR="00A35FA9">
        <w:rPr>
          <w:lang w:val="en-GB"/>
        </w:rPr>
        <w:t xml:space="preserve">better </w:t>
      </w:r>
      <w:r w:rsidR="00ED701E">
        <w:rPr>
          <w:lang w:val="en-GB"/>
        </w:rPr>
        <w:t>highlight their Renewable Energy business</w:t>
      </w:r>
      <w:r w:rsidR="00A35FA9">
        <w:rPr>
          <w:lang w:val="en-GB"/>
        </w:rPr>
        <w:t xml:space="preserve"> (previously scattered across several divisions)</w:t>
      </w:r>
      <w:r w:rsidR="00ED701E">
        <w:rPr>
          <w:lang w:val="en-GB"/>
        </w:rPr>
        <w:t>.</w:t>
      </w:r>
      <w:r w:rsidR="003F4B6C">
        <w:rPr>
          <w:lang w:val="en-GB"/>
        </w:rPr>
        <w:t xml:space="preserve"> </w:t>
      </w:r>
      <w:r w:rsidR="006855D0">
        <w:rPr>
          <w:lang w:val="en-GB"/>
        </w:rPr>
        <w:t>Historically, t</w:t>
      </w:r>
      <w:r w:rsidR="00763C8D">
        <w:rPr>
          <w:lang w:val="en-GB"/>
        </w:rPr>
        <w:t xml:space="preserve">heir governance structure was </w:t>
      </w:r>
      <w:r w:rsidR="00FC1EB7">
        <w:rPr>
          <w:lang w:val="en-GB"/>
        </w:rPr>
        <w:t>good,</w:t>
      </w:r>
      <w:r w:rsidR="00763C8D">
        <w:rPr>
          <w:lang w:val="en-GB"/>
        </w:rPr>
        <w:t xml:space="preserve"> but their sustainability reporting </w:t>
      </w:r>
      <w:r w:rsidR="00EA2F3C">
        <w:rPr>
          <w:lang w:val="en-GB"/>
        </w:rPr>
        <w:t>and strategy</w:t>
      </w:r>
      <w:r w:rsidR="006855D0">
        <w:rPr>
          <w:lang w:val="en-GB"/>
        </w:rPr>
        <w:t xml:space="preserve"> explanation</w:t>
      </w:r>
      <w:r w:rsidR="00EA2F3C">
        <w:rPr>
          <w:lang w:val="en-GB"/>
        </w:rPr>
        <w:t xml:space="preserve"> </w:t>
      </w:r>
      <w:r w:rsidR="00763C8D">
        <w:rPr>
          <w:lang w:val="en-GB"/>
        </w:rPr>
        <w:t xml:space="preserve">has been </w:t>
      </w:r>
      <w:r w:rsidR="00EA2F3C">
        <w:rPr>
          <w:lang w:val="en-GB"/>
        </w:rPr>
        <w:t>poor</w:t>
      </w:r>
      <w:r w:rsidR="00763C8D">
        <w:rPr>
          <w:lang w:val="en-GB"/>
        </w:rPr>
        <w:t xml:space="preserve">. </w:t>
      </w:r>
      <w:r w:rsidR="00B027DB">
        <w:rPr>
          <w:lang w:val="en-GB"/>
        </w:rPr>
        <w:t xml:space="preserve">In the last 6 months they have released an updated Sustainability strategy and will be increasing their reporting from now onwards. </w:t>
      </w:r>
      <w:r w:rsidR="00A74CFA">
        <w:rPr>
          <w:lang w:val="en-GB"/>
        </w:rPr>
        <w:t>The shift from adoption of qualitative UNSDGs to a more quantitative Sustainability reporting framework is one that many Japanese firms are moving through</w:t>
      </w:r>
      <w:r w:rsidR="00EA73B5">
        <w:rPr>
          <w:lang w:val="en-GB"/>
        </w:rPr>
        <w:t xml:space="preserve"> and is clearly visible at </w:t>
      </w:r>
      <w:proofErr w:type="spellStart"/>
      <w:r w:rsidR="00EA73B5">
        <w:rPr>
          <w:lang w:val="en-GB"/>
        </w:rPr>
        <w:t>Orix</w:t>
      </w:r>
      <w:proofErr w:type="spellEnd"/>
      <w:r w:rsidR="00A74CFA">
        <w:rPr>
          <w:lang w:val="en-GB"/>
        </w:rPr>
        <w:t>. In many cases we see firms that are</w:t>
      </w:r>
      <w:r w:rsidR="003C70D2">
        <w:rPr>
          <w:lang w:val="en-GB"/>
        </w:rPr>
        <w:t xml:space="preserve"> </w:t>
      </w:r>
      <w:r w:rsidR="00960AD8">
        <w:rPr>
          <w:lang w:val="en-GB"/>
        </w:rPr>
        <w:t>directionally DOING</w:t>
      </w:r>
      <w:r w:rsidR="00A74CFA">
        <w:rPr>
          <w:lang w:val="en-GB"/>
        </w:rPr>
        <w:t xml:space="preserve"> the right things but have not yet developed the appropriate reporting frameworks. </w:t>
      </w:r>
      <w:proofErr w:type="spellStart"/>
      <w:r w:rsidR="00396C78">
        <w:rPr>
          <w:lang w:val="en-GB"/>
        </w:rPr>
        <w:t>Orix</w:t>
      </w:r>
      <w:proofErr w:type="spellEnd"/>
      <w:r w:rsidR="00396C78">
        <w:rPr>
          <w:lang w:val="en-GB"/>
        </w:rPr>
        <w:t xml:space="preserve"> has started to disclose using TCFD measures </w:t>
      </w:r>
      <w:r w:rsidR="0090106E">
        <w:rPr>
          <w:lang w:val="en-GB"/>
        </w:rPr>
        <w:t>from 2020</w:t>
      </w:r>
      <w:r w:rsidR="00960AD8">
        <w:rPr>
          <w:lang w:val="en-GB"/>
        </w:rPr>
        <w:t xml:space="preserve"> as a first step in this direction</w:t>
      </w:r>
      <w:r w:rsidR="00396C78">
        <w:rPr>
          <w:lang w:val="en-GB"/>
        </w:rPr>
        <w:t>.</w:t>
      </w:r>
    </w:p>
    <w:p w14:paraId="3A8A6872" w14:textId="77777777" w:rsidR="00A74CFA" w:rsidRDefault="00A74CFA" w:rsidP="00510A42">
      <w:pPr>
        <w:pStyle w:val="ListParagraph"/>
        <w:jc w:val="both"/>
        <w:rPr>
          <w:lang w:val="en-GB"/>
        </w:rPr>
      </w:pPr>
    </w:p>
    <w:p w14:paraId="48A65C24" w14:textId="6D79A3BF" w:rsidR="00952C82" w:rsidRDefault="00C920B2" w:rsidP="00E66FB3">
      <w:pPr>
        <w:pStyle w:val="ListParagraph"/>
        <w:ind w:left="0"/>
        <w:jc w:val="both"/>
        <w:rPr>
          <w:lang w:val="en-GB"/>
        </w:rPr>
      </w:pPr>
      <w:r>
        <w:rPr>
          <w:lang w:val="en-GB"/>
        </w:rPr>
        <w:t xml:space="preserve">To get a sense of how things are changing for the better I have included </w:t>
      </w:r>
      <w:proofErr w:type="spellStart"/>
      <w:r w:rsidR="00C821AF">
        <w:rPr>
          <w:lang w:val="en-GB"/>
        </w:rPr>
        <w:t>Orix’s</w:t>
      </w:r>
      <w:proofErr w:type="spellEnd"/>
      <w:r w:rsidR="007E2FC3">
        <w:rPr>
          <w:lang w:val="en-GB"/>
        </w:rPr>
        <w:t>-:</w:t>
      </w:r>
      <w:r>
        <w:rPr>
          <w:lang w:val="en-GB"/>
        </w:rPr>
        <w:t xml:space="preserve"> </w:t>
      </w:r>
    </w:p>
    <w:p w14:paraId="289FB340" w14:textId="77777777" w:rsidR="00952C82" w:rsidRDefault="00952C82" w:rsidP="00510A42">
      <w:pPr>
        <w:pStyle w:val="ListParagraph"/>
        <w:jc w:val="both"/>
        <w:rPr>
          <w:lang w:val="en-GB"/>
        </w:rPr>
      </w:pPr>
    </w:p>
    <w:p w14:paraId="051650A1" w14:textId="0B19656D" w:rsidR="00C920B2" w:rsidRDefault="00C920B2" w:rsidP="00E66FB3">
      <w:pPr>
        <w:pStyle w:val="ListParagraph"/>
        <w:ind w:left="0"/>
        <w:jc w:val="both"/>
        <w:rPr>
          <w:lang w:val="en-GB"/>
        </w:rPr>
      </w:pPr>
      <w:r>
        <w:rPr>
          <w:lang w:val="en-GB"/>
        </w:rPr>
        <w:t>Sustainability Report for 2019</w:t>
      </w:r>
      <w:r w:rsidR="00C821AF">
        <w:rPr>
          <w:lang w:val="en-GB"/>
        </w:rPr>
        <w:t xml:space="preserve"> – with a UNSDG orientation and poor quantitative disclosures</w:t>
      </w:r>
      <w:r w:rsidR="00A66758">
        <w:rPr>
          <w:lang w:val="en-GB"/>
        </w:rPr>
        <w:t xml:space="preserve">. They explicitly acknowledge many of the Environmental, Social and Governance issues but provide limited data. </w:t>
      </w:r>
    </w:p>
    <w:p w14:paraId="4D2C29F0" w14:textId="767F4084" w:rsidR="00C33D31" w:rsidRDefault="00000000" w:rsidP="00E66FB3">
      <w:pPr>
        <w:pStyle w:val="ListParagraph"/>
        <w:ind w:left="0"/>
        <w:jc w:val="both"/>
        <w:rPr>
          <w:lang w:val="en-GB"/>
        </w:rPr>
      </w:pPr>
      <w:hyperlink r:id="rId16" w:anchor=":~:text=ORIX%20operates%20in%20a%20wide%20range%20of%20businesses%2C,%20Managing%20risk%20is%20also%20part%20of%20sustainability." w:history="1">
        <w:r w:rsidR="00C33D31">
          <w:rPr>
            <w:rStyle w:val="Hyperlink"/>
          </w:rPr>
          <w:t>https://www.orix.co.jp/grp/en/pdf/sustainability/sustainability_report/SR2019E.pdf#:~:text=ORIX operates in a wide range of businesses%2C, Managing risk is also part of sustainability.</w:t>
        </w:r>
      </w:hyperlink>
    </w:p>
    <w:p w14:paraId="1C0FCF80" w14:textId="14413509" w:rsidR="00952C82" w:rsidRDefault="00952C82" w:rsidP="00E66FB3">
      <w:pPr>
        <w:spacing w:line="240" w:lineRule="auto"/>
        <w:jc w:val="both"/>
        <w:rPr>
          <w:lang w:val="en-GB"/>
        </w:rPr>
      </w:pPr>
      <w:r>
        <w:rPr>
          <w:lang w:val="en-GB"/>
        </w:rPr>
        <w:t>Sustainability Report for 2021</w:t>
      </w:r>
      <w:r w:rsidR="006D3C2E">
        <w:rPr>
          <w:lang w:val="en-GB"/>
        </w:rPr>
        <w:t xml:space="preserve"> which includes </w:t>
      </w:r>
      <w:r w:rsidR="005D044E">
        <w:rPr>
          <w:lang w:val="en-GB"/>
        </w:rPr>
        <w:t xml:space="preserve">specific </w:t>
      </w:r>
      <w:r w:rsidR="006D3C2E">
        <w:rPr>
          <w:lang w:val="en-GB"/>
        </w:rPr>
        <w:t>CO2 reduction goals</w:t>
      </w:r>
      <w:r w:rsidR="00B20F45">
        <w:rPr>
          <w:lang w:val="en-GB"/>
        </w:rPr>
        <w:t>;</w:t>
      </w:r>
      <w:r w:rsidR="006D3C2E">
        <w:rPr>
          <w:lang w:val="en-GB"/>
        </w:rPr>
        <w:t xml:space="preserve"> 50% board independence</w:t>
      </w:r>
      <w:r w:rsidR="005D044E">
        <w:rPr>
          <w:lang w:val="en-GB"/>
        </w:rPr>
        <w:t xml:space="preserve"> and diversity targets</w:t>
      </w:r>
      <w:r w:rsidR="00CA5B23">
        <w:rPr>
          <w:lang w:val="en-GB"/>
        </w:rPr>
        <w:t xml:space="preserve">; </w:t>
      </w:r>
      <w:r w:rsidR="005D044E">
        <w:rPr>
          <w:lang w:val="en-GB"/>
        </w:rPr>
        <w:t xml:space="preserve">a net carbon </w:t>
      </w:r>
      <w:r w:rsidR="001E06DF">
        <w:rPr>
          <w:lang w:val="en-GB"/>
        </w:rPr>
        <w:t xml:space="preserve">zero </w:t>
      </w:r>
      <w:r w:rsidR="005D044E">
        <w:rPr>
          <w:lang w:val="en-GB"/>
        </w:rPr>
        <w:t>20</w:t>
      </w:r>
      <w:r w:rsidR="001E06DF">
        <w:rPr>
          <w:lang w:val="en-GB"/>
        </w:rPr>
        <w:t>5</w:t>
      </w:r>
      <w:r w:rsidR="005D044E">
        <w:rPr>
          <w:lang w:val="en-GB"/>
        </w:rPr>
        <w:t>0 target</w:t>
      </w:r>
      <w:r w:rsidR="00CA5B23">
        <w:rPr>
          <w:lang w:val="en-GB"/>
        </w:rPr>
        <w:t>; and s</w:t>
      </w:r>
      <w:r w:rsidR="00752068">
        <w:rPr>
          <w:lang w:val="en-GB"/>
        </w:rPr>
        <w:t xml:space="preserve">cenario analysis on </w:t>
      </w:r>
      <w:r w:rsidR="001F693E">
        <w:rPr>
          <w:lang w:val="en-GB"/>
        </w:rPr>
        <w:t>&lt;</w:t>
      </w:r>
      <w:r w:rsidR="00752068">
        <w:rPr>
          <w:lang w:val="en-GB"/>
        </w:rPr>
        <w:t>4/</w:t>
      </w:r>
      <w:r w:rsidR="001F693E">
        <w:rPr>
          <w:lang w:val="en-GB"/>
        </w:rPr>
        <w:t>&lt;</w:t>
      </w:r>
      <w:r w:rsidR="00B20F45">
        <w:rPr>
          <w:lang w:val="en-GB"/>
        </w:rPr>
        <w:t>2-degree</w:t>
      </w:r>
      <w:r w:rsidR="001F693E">
        <w:rPr>
          <w:lang w:val="en-GB"/>
        </w:rPr>
        <w:t xml:space="preserve"> targets for key divisions</w:t>
      </w:r>
      <w:r w:rsidR="00C70AE6">
        <w:rPr>
          <w:lang w:val="en-GB"/>
        </w:rPr>
        <w:t xml:space="preserve">. </w:t>
      </w:r>
      <w:proofErr w:type="spellStart"/>
      <w:r w:rsidR="00FF1FA5">
        <w:rPr>
          <w:lang w:val="en-GB"/>
        </w:rPr>
        <w:t>Orix</w:t>
      </w:r>
      <w:proofErr w:type="spellEnd"/>
      <w:r w:rsidR="00FF1FA5">
        <w:rPr>
          <w:lang w:val="en-GB"/>
        </w:rPr>
        <w:t xml:space="preserve"> has also expanded their analysis downstream to their Scope3 impact. </w:t>
      </w:r>
      <w:r w:rsidR="00CA5B23">
        <w:rPr>
          <w:lang w:val="en-GB"/>
        </w:rPr>
        <w:t xml:space="preserve">Quantitative data granularity is much higher. </w:t>
      </w:r>
      <w:r w:rsidR="00907764">
        <w:rPr>
          <w:lang w:val="en-GB"/>
        </w:rPr>
        <w:t>Additionally</w:t>
      </w:r>
      <w:r w:rsidR="00BD1131">
        <w:rPr>
          <w:lang w:val="en-GB"/>
        </w:rPr>
        <w:t>,</w:t>
      </w:r>
      <w:r w:rsidR="00907764">
        <w:rPr>
          <w:lang w:val="en-GB"/>
        </w:rPr>
        <w:t xml:space="preserve"> they now have an independent external environmental audi</w:t>
      </w:r>
      <w:r w:rsidR="00645AE8">
        <w:rPr>
          <w:lang w:val="en-GB"/>
        </w:rPr>
        <w:t>t</w:t>
      </w:r>
      <w:r w:rsidR="00907764">
        <w:rPr>
          <w:lang w:val="en-GB"/>
        </w:rPr>
        <w:t xml:space="preserve"> by KPMG</w:t>
      </w:r>
      <w:r w:rsidR="00645AE8">
        <w:rPr>
          <w:lang w:val="en-GB"/>
        </w:rPr>
        <w:t xml:space="preserve">. </w:t>
      </w:r>
      <w:r w:rsidR="001F693E">
        <w:rPr>
          <w:lang w:val="en-GB"/>
        </w:rPr>
        <w:t xml:space="preserve"> </w:t>
      </w:r>
      <w:r w:rsidR="00AF7CE7">
        <w:rPr>
          <w:lang w:val="en-GB"/>
        </w:rPr>
        <w:t>Finally</w:t>
      </w:r>
      <w:r w:rsidR="00B20F45">
        <w:rPr>
          <w:lang w:val="en-GB"/>
        </w:rPr>
        <w:t>,</w:t>
      </w:r>
      <w:r w:rsidR="00AF7CE7">
        <w:rPr>
          <w:lang w:val="en-GB"/>
        </w:rPr>
        <w:t xml:space="preserve"> on the </w:t>
      </w:r>
      <w:proofErr w:type="gramStart"/>
      <w:r w:rsidR="00AF7CE7">
        <w:rPr>
          <w:lang w:val="en-GB"/>
        </w:rPr>
        <w:t>Social</w:t>
      </w:r>
      <w:proofErr w:type="gramEnd"/>
      <w:r w:rsidR="00AF7CE7">
        <w:rPr>
          <w:lang w:val="en-GB"/>
        </w:rPr>
        <w:t xml:space="preserve"> aspects they have </w:t>
      </w:r>
      <w:r w:rsidR="00095F0C">
        <w:rPr>
          <w:lang w:val="en-GB"/>
        </w:rPr>
        <w:t xml:space="preserve">materially </w:t>
      </w:r>
      <w:r w:rsidR="00AF7CE7">
        <w:rPr>
          <w:lang w:val="en-GB"/>
        </w:rPr>
        <w:t xml:space="preserve">fleshed out their policies on Diversity, </w:t>
      </w:r>
      <w:r w:rsidR="00F7105E">
        <w:rPr>
          <w:lang w:val="en-GB"/>
        </w:rPr>
        <w:t>Compliance, Data Security, Modern Slavery and Whistleblowing</w:t>
      </w:r>
      <w:r w:rsidR="00095F0C">
        <w:rPr>
          <w:lang w:val="en-GB"/>
        </w:rPr>
        <w:t xml:space="preserve">. </w:t>
      </w:r>
    </w:p>
    <w:p w14:paraId="0179E858" w14:textId="1A3333AF" w:rsidR="00320C81" w:rsidRDefault="00000000" w:rsidP="00E66FB3">
      <w:pPr>
        <w:spacing w:line="240" w:lineRule="auto"/>
        <w:jc w:val="both"/>
        <w:rPr>
          <w:lang w:val="en-GB"/>
        </w:rPr>
      </w:pPr>
      <w:hyperlink r:id="rId17" w:history="1">
        <w:r w:rsidR="00223E8A" w:rsidRPr="00CE22E2">
          <w:rPr>
            <w:rStyle w:val="Hyperlink"/>
            <w:lang w:val="en-GB"/>
          </w:rPr>
          <w:t>https://www.orix.co.jp/grp/en/pdf/sustainability/sustainability_report/SR2021E.pdf</w:t>
        </w:r>
      </w:hyperlink>
    </w:p>
    <w:p w14:paraId="43B751EF" w14:textId="4A5C1DA0" w:rsidR="00223E8A" w:rsidRDefault="00223E8A" w:rsidP="00E66FB3">
      <w:pPr>
        <w:spacing w:line="240" w:lineRule="auto"/>
        <w:jc w:val="both"/>
        <w:rPr>
          <w:lang w:val="en-GB"/>
        </w:rPr>
      </w:pPr>
      <w:r>
        <w:rPr>
          <w:lang w:val="en-GB"/>
        </w:rPr>
        <w:t>Their data reporting has also been substantially increased and will continue to improve.</w:t>
      </w:r>
    </w:p>
    <w:p w14:paraId="0956A733" w14:textId="76A45294" w:rsidR="00320C81" w:rsidRDefault="00000000" w:rsidP="00E66FB3">
      <w:pPr>
        <w:spacing w:line="240" w:lineRule="auto"/>
        <w:jc w:val="both"/>
        <w:rPr>
          <w:lang w:val="en-GB"/>
        </w:rPr>
      </w:pPr>
      <w:hyperlink r:id="rId18" w:history="1">
        <w:r w:rsidR="00320C81">
          <w:rPr>
            <w:rStyle w:val="Hyperlink"/>
          </w:rPr>
          <w:t>Sustainability-Related Policies and Data | ORIX Group</w:t>
        </w:r>
      </w:hyperlink>
    </w:p>
    <w:p w14:paraId="343013D8" w14:textId="0E557C32" w:rsidR="008914B9" w:rsidRDefault="008914B9" w:rsidP="00E66FB3">
      <w:pPr>
        <w:spacing w:line="240" w:lineRule="auto"/>
        <w:jc w:val="both"/>
        <w:rPr>
          <w:lang w:val="en-GB"/>
        </w:rPr>
      </w:pPr>
      <w:r>
        <w:rPr>
          <w:lang w:val="en-GB"/>
        </w:rPr>
        <w:t>They held an ESG focused IR day and virtual roadshow</w:t>
      </w:r>
      <w:r w:rsidR="00C31F54">
        <w:rPr>
          <w:lang w:val="en-GB"/>
        </w:rPr>
        <w:t>s</w:t>
      </w:r>
      <w:r w:rsidR="00B82F6D">
        <w:rPr>
          <w:lang w:val="en-GB"/>
        </w:rPr>
        <w:t xml:space="preserve"> </w:t>
      </w:r>
      <w:r w:rsidR="00CE7278">
        <w:rPr>
          <w:lang w:val="en-GB"/>
        </w:rPr>
        <w:t>alongside</w:t>
      </w:r>
      <w:r w:rsidR="00B82F6D">
        <w:rPr>
          <w:lang w:val="en-GB"/>
        </w:rPr>
        <w:t xml:space="preserve"> their first half results </w:t>
      </w:r>
      <w:r>
        <w:rPr>
          <w:lang w:val="en-GB"/>
        </w:rPr>
        <w:t xml:space="preserve">to showcase the new </w:t>
      </w:r>
      <w:r w:rsidR="0059253A">
        <w:rPr>
          <w:lang w:val="en-GB"/>
        </w:rPr>
        <w:t>polic</w:t>
      </w:r>
      <w:r w:rsidR="001E06DF">
        <w:rPr>
          <w:lang w:val="en-GB"/>
        </w:rPr>
        <w:t>ies</w:t>
      </w:r>
      <w:r w:rsidR="0059253A">
        <w:rPr>
          <w:lang w:val="en-GB"/>
        </w:rPr>
        <w:t xml:space="preserve"> to investors</w:t>
      </w:r>
      <w:r w:rsidR="002B1739">
        <w:rPr>
          <w:lang w:val="en-GB"/>
        </w:rPr>
        <w:t>.</w:t>
      </w:r>
    </w:p>
    <w:p w14:paraId="24134E5A" w14:textId="7A88E357" w:rsidR="0059253A" w:rsidRDefault="00000000" w:rsidP="00E66FB3">
      <w:pPr>
        <w:spacing w:line="240" w:lineRule="auto"/>
        <w:jc w:val="both"/>
        <w:rPr>
          <w:lang w:val="en-GB"/>
        </w:rPr>
      </w:pPr>
      <w:hyperlink r:id="rId19" w:history="1">
        <w:r w:rsidR="00CC0949" w:rsidRPr="00195460">
          <w:rPr>
            <w:rStyle w:val="Hyperlink"/>
            <w:lang w:val="en-GB"/>
          </w:rPr>
          <w:t>https://www.orix.co.jp/grp/en/pdf/ir/library/presentation/Presentation_2022_2QE.pdf</w:t>
        </w:r>
      </w:hyperlink>
    </w:p>
    <w:p w14:paraId="52ADAD20" w14:textId="22DD78A3" w:rsidR="008914B9" w:rsidRDefault="00095F0C" w:rsidP="00E66FB3">
      <w:pPr>
        <w:spacing w:line="240" w:lineRule="auto"/>
        <w:jc w:val="both"/>
        <w:rPr>
          <w:lang w:val="en-GB"/>
        </w:rPr>
      </w:pPr>
      <w:proofErr w:type="spellStart"/>
      <w:r>
        <w:rPr>
          <w:lang w:val="en-GB"/>
        </w:rPr>
        <w:t>Orix</w:t>
      </w:r>
      <w:proofErr w:type="spellEnd"/>
      <w:r>
        <w:rPr>
          <w:lang w:val="en-GB"/>
        </w:rPr>
        <w:t xml:space="preserve"> may still have some way to go but </w:t>
      </w:r>
      <w:r w:rsidR="00BD1131">
        <w:rPr>
          <w:lang w:val="en-GB"/>
        </w:rPr>
        <w:t xml:space="preserve">very significant progress is clearly being made in terms of </w:t>
      </w:r>
      <w:r w:rsidR="00863410">
        <w:rPr>
          <w:lang w:val="en-GB"/>
        </w:rPr>
        <w:t>activity</w:t>
      </w:r>
      <w:r w:rsidR="00BD1131">
        <w:rPr>
          <w:lang w:val="en-GB"/>
        </w:rPr>
        <w:t xml:space="preserve"> and reporting. </w:t>
      </w:r>
      <w:r w:rsidR="00863410">
        <w:rPr>
          <w:lang w:val="en-GB"/>
        </w:rPr>
        <w:t>Remarkably</w:t>
      </w:r>
      <w:r w:rsidR="00BD1131">
        <w:rPr>
          <w:lang w:val="en-GB"/>
        </w:rPr>
        <w:t xml:space="preserve"> because much of the new data is not yet available </w:t>
      </w:r>
      <w:r w:rsidR="00863410">
        <w:rPr>
          <w:lang w:val="en-GB"/>
        </w:rPr>
        <w:t xml:space="preserve">on </w:t>
      </w:r>
      <w:r w:rsidR="006E7C58">
        <w:rPr>
          <w:lang w:val="en-GB"/>
        </w:rPr>
        <w:t>annual assessment basis as result some third-party Sustainability ratings</w:t>
      </w:r>
      <w:r w:rsidR="00BD1131">
        <w:rPr>
          <w:lang w:val="en-GB"/>
        </w:rPr>
        <w:t xml:space="preserve"> st</w:t>
      </w:r>
      <w:r w:rsidR="00863410">
        <w:rPr>
          <w:lang w:val="en-GB"/>
        </w:rPr>
        <w:t>i</w:t>
      </w:r>
      <w:r w:rsidR="00BD1131">
        <w:rPr>
          <w:lang w:val="en-GB"/>
        </w:rPr>
        <w:t xml:space="preserve">ll </w:t>
      </w:r>
      <w:r w:rsidR="00863410">
        <w:rPr>
          <w:lang w:val="en-GB"/>
        </w:rPr>
        <w:t>rank them poorly</w:t>
      </w:r>
      <w:r w:rsidR="00FA7394">
        <w:rPr>
          <w:lang w:val="en-GB"/>
        </w:rPr>
        <w:t xml:space="preserve">. </w:t>
      </w:r>
      <w:r w:rsidR="005D26AD">
        <w:rPr>
          <w:lang w:val="en-GB"/>
        </w:rPr>
        <w:t xml:space="preserve">The </w:t>
      </w:r>
      <w:r w:rsidR="00FA7394">
        <w:rPr>
          <w:lang w:val="en-GB"/>
        </w:rPr>
        <w:t>Bloomberg ESG score is just 35</w:t>
      </w:r>
      <w:r w:rsidR="00FC288C">
        <w:rPr>
          <w:lang w:val="en-GB"/>
        </w:rPr>
        <w:t xml:space="preserve">.5/100 as the new data has not yet filtered through. </w:t>
      </w:r>
      <w:r w:rsidR="005D2944">
        <w:rPr>
          <w:lang w:val="en-GB"/>
        </w:rPr>
        <w:t>CDP score</w:t>
      </w:r>
      <w:r w:rsidR="00126B00">
        <w:rPr>
          <w:lang w:val="en-GB"/>
        </w:rPr>
        <w:t>s</w:t>
      </w:r>
      <w:r w:rsidR="005D2944">
        <w:rPr>
          <w:lang w:val="en-GB"/>
        </w:rPr>
        <w:t xml:space="preserve"> them 2</w:t>
      </w:r>
      <w:r w:rsidR="00126B00">
        <w:rPr>
          <w:lang w:val="en-GB"/>
        </w:rPr>
        <w:t xml:space="preserve">/8. However, ISS scores </w:t>
      </w:r>
      <w:r w:rsidR="00126B00">
        <w:rPr>
          <w:lang w:val="en-GB"/>
        </w:rPr>
        <w:lastRenderedPageBreak/>
        <w:t>them 1</w:t>
      </w:r>
      <w:r w:rsidR="000E2997">
        <w:rPr>
          <w:lang w:val="en-GB"/>
        </w:rPr>
        <w:t xml:space="preserve"> for governance. MSCI (AA), S&amp;P </w:t>
      </w:r>
      <w:r w:rsidR="00F30913">
        <w:rPr>
          <w:lang w:val="en-GB"/>
        </w:rPr>
        <w:t>(</w:t>
      </w:r>
      <w:r w:rsidR="000E2997">
        <w:rPr>
          <w:lang w:val="en-GB"/>
        </w:rPr>
        <w:t>69</w:t>
      </w:r>
      <w:r w:rsidR="00F30913">
        <w:rPr>
          <w:lang w:val="en-GB"/>
        </w:rPr>
        <w:t>)</w:t>
      </w:r>
      <w:r w:rsidR="000E2997">
        <w:rPr>
          <w:lang w:val="en-GB"/>
        </w:rPr>
        <w:t xml:space="preserve"> and Sustainalytics </w:t>
      </w:r>
      <w:r w:rsidR="00F30913">
        <w:rPr>
          <w:lang w:val="en-GB"/>
        </w:rPr>
        <w:t>(28.4) scores are class leading in Japanese non-bank financials</w:t>
      </w:r>
      <w:r w:rsidR="005D26AD">
        <w:rPr>
          <w:lang w:val="en-GB"/>
        </w:rPr>
        <w:t xml:space="preserve"> whilst still having some scope for improved absolute scores</w:t>
      </w:r>
      <w:r w:rsidR="00F30913">
        <w:rPr>
          <w:lang w:val="en-GB"/>
        </w:rPr>
        <w:t>.</w:t>
      </w:r>
    </w:p>
    <w:p w14:paraId="76738BF8" w14:textId="267F91AE" w:rsidR="00433B4B" w:rsidRDefault="00433B4B" w:rsidP="00E66FB3">
      <w:pPr>
        <w:spacing w:line="240" w:lineRule="auto"/>
        <w:jc w:val="both"/>
        <w:rPr>
          <w:lang w:val="en-GB"/>
        </w:rPr>
      </w:pPr>
      <w:r>
        <w:rPr>
          <w:lang w:val="en-GB"/>
        </w:rPr>
        <w:t xml:space="preserve">We have also spoken to </w:t>
      </w:r>
      <w:proofErr w:type="spellStart"/>
      <w:r>
        <w:rPr>
          <w:lang w:val="en-GB"/>
        </w:rPr>
        <w:t>Orix</w:t>
      </w:r>
      <w:proofErr w:type="spellEnd"/>
      <w:r>
        <w:rPr>
          <w:lang w:val="en-GB"/>
        </w:rPr>
        <w:t xml:space="preserve"> </w:t>
      </w:r>
      <w:r w:rsidR="006C6BB7">
        <w:rPr>
          <w:lang w:val="en-GB"/>
        </w:rPr>
        <w:t>a</w:t>
      </w:r>
      <w:r>
        <w:rPr>
          <w:lang w:val="en-GB"/>
        </w:rPr>
        <w:t>bout their capital allocation</w:t>
      </w:r>
      <w:r w:rsidR="006C6BB7">
        <w:rPr>
          <w:lang w:val="en-GB"/>
        </w:rPr>
        <w:t xml:space="preserve"> and especially the high cost of principal capital.  </w:t>
      </w:r>
      <w:r w:rsidR="007754A0">
        <w:rPr>
          <w:lang w:val="en-GB"/>
        </w:rPr>
        <w:t xml:space="preserve">We have encouraged them to sell down some </w:t>
      </w:r>
      <w:r w:rsidR="001924BD">
        <w:rPr>
          <w:lang w:val="en-GB"/>
        </w:rPr>
        <w:t>assets and</w:t>
      </w:r>
      <w:r w:rsidR="007754A0">
        <w:rPr>
          <w:lang w:val="en-GB"/>
        </w:rPr>
        <w:t xml:space="preserve"> recycle that in a more efficient manner. Given the low valuation and strong capital position we have also been pushing for enhanced shareholder return. Following the sale of some Private Equity assets in the US and Japan </w:t>
      </w:r>
      <w:proofErr w:type="spellStart"/>
      <w:r w:rsidR="007754A0">
        <w:rPr>
          <w:lang w:val="en-GB"/>
        </w:rPr>
        <w:t>Orix</w:t>
      </w:r>
      <w:proofErr w:type="spellEnd"/>
      <w:r w:rsidR="007754A0">
        <w:rPr>
          <w:lang w:val="en-GB"/>
        </w:rPr>
        <w:t xml:space="preserve"> has begun a meaningful buyback and raised the dividend. </w:t>
      </w:r>
    </w:p>
    <w:p w14:paraId="15A948DC" w14:textId="1A5CE9A7" w:rsidR="007754A0" w:rsidRDefault="007754A0" w:rsidP="00510A42">
      <w:pPr>
        <w:spacing w:line="240" w:lineRule="auto"/>
        <w:ind w:left="708"/>
        <w:jc w:val="both"/>
        <w:rPr>
          <w:lang w:val="en-GB"/>
        </w:rPr>
      </w:pPr>
    </w:p>
    <w:p w14:paraId="06CDBA10" w14:textId="1377CEBC" w:rsidR="00090624" w:rsidRDefault="71446E3D" w:rsidP="00E66FB3">
      <w:pPr>
        <w:spacing w:line="240" w:lineRule="auto"/>
        <w:jc w:val="both"/>
        <w:rPr>
          <w:lang w:val="en-GB"/>
        </w:rPr>
      </w:pPr>
      <w:r w:rsidRPr="71446E3D">
        <w:rPr>
          <w:lang w:val="en-GB"/>
        </w:rPr>
        <w:t xml:space="preserve">Further instances where our views have been heard is at Nishimatsu Construction – 28% buyback; at JAFCO executed on their 25% buyback following the excess NRI stake </w:t>
      </w:r>
      <w:proofErr w:type="gramStart"/>
      <w:r w:rsidRPr="71446E3D">
        <w:rPr>
          <w:lang w:val="en-GB"/>
        </w:rPr>
        <w:t>disposal;  Hi</w:t>
      </w:r>
      <w:proofErr w:type="gramEnd"/>
      <w:r w:rsidRPr="71446E3D">
        <w:rPr>
          <w:lang w:val="en-GB"/>
        </w:rPr>
        <w:t xml:space="preserve">-Lex which has conducted several small buybacks; and T Hasegawa that has begun reducing its investment portfolio, has acquired several assets in the US and begun a buyback program. Over the course of the period February 2021 to YE2021 we saw 6 companies in our portfolio get taken over, bid for or have a very meaningful capital return. Our holding </w:t>
      </w:r>
      <w:proofErr w:type="spellStart"/>
      <w:r w:rsidRPr="71446E3D">
        <w:rPr>
          <w:lang w:val="en-GB"/>
        </w:rPr>
        <w:t>Benext</w:t>
      </w:r>
      <w:proofErr w:type="spellEnd"/>
      <w:r w:rsidRPr="71446E3D">
        <w:rPr>
          <w:lang w:val="en-GB"/>
        </w:rPr>
        <w:t xml:space="preserve"> </w:t>
      </w:r>
      <w:proofErr w:type="spellStart"/>
      <w:r w:rsidRPr="71446E3D">
        <w:rPr>
          <w:lang w:val="en-GB"/>
        </w:rPr>
        <w:t>Yumeshin</w:t>
      </w:r>
      <w:proofErr w:type="spellEnd"/>
      <w:r w:rsidRPr="71446E3D">
        <w:rPr>
          <w:lang w:val="en-GB"/>
        </w:rPr>
        <w:t xml:space="preserve"> also introduced a new Sustainability strategy that represented a substantial improvement on the previous policies and disclosures that they had. We had spoken to the senior leadership team several times about their poor quantitative disclosure, and this should now improve.</w:t>
      </w:r>
    </w:p>
    <w:p w14:paraId="75AD5041" w14:textId="14ECC786" w:rsidR="00C62B22" w:rsidRDefault="00C62B22" w:rsidP="00510A42">
      <w:pPr>
        <w:spacing w:line="240" w:lineRule="auto"/>
        <w:ind w:left="708"/>
        <w:jc w:val="both"/>
        <w:rPr>
          <w:lang w:val="en-GB"/>
        </w:rPr>
      </w:pPr>
    </w:p>
    <w:p w14:paraId="5AAF2789" w14:textId="77777777" w:rsidR="00C62B22" w:rsidRDefault="00C62B22" w:rsidP="00510A42">
      <w:pPr>
        <w:spacing w:line="240" w:lineRule="auto"/>
        <w:ind w:left="708"/>
        <w:jc w:val="both"/>
        <w:rPr>
          <w:lang w:val="en-GB"/>
        </w:rPr>
      </w:pPr>
    </w:p>
    <w:p w14:paraId="4540CB39" w14:textId="77777777" w:rsidR="008914B9" w:rsidRDefault="008914B9" w:rsidP="00510A42">
      <w:pPr>
        <w:spacing w:line="240" w:lineRule="auto"/>
        <w:ind w:left="708"/>
        <w:jc w:val="both"/>
        <w:rPr>
          <w:lang w:val="en-GB"/>
        </w:rPr>
      </w:pPr>
    </w:p>
    <w:p w14:paraId="5DA6D842" w14:textId="77777777" w:rsidR="008914B9" w:rsidRDefault="008914B9" w:rsidP="00510A42">
      <w:pPr>
        <w:spacing w:line="240" w:lineRule="auto"/>
        <w:ind w:left="708"/>
        <w:jc w:val="both"/>
        <w:rPr>
          <w:lang w:val="en-GB"/>
        </w:rPr>
      </w:pPr>
    </w:p>
    <w:p w14:paraId="27819714" w14:textId="77777777" w:rsidR="003845D2" w:rsidRDefault="003845D2" w:rsidP="00510A42">
      <w:pPr>
        <w:jc w:val="both"/>
        <w:rPr>
          <w:lang w:val="en-GB"/>
        </w:rPr>
      </w:pPr>
    </w:p>
    <w:sectPr w:rsidR="003845D2">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37D4" w14:textId="77777777" w:rsidR="00E5387D" w:rsidRDefault="00E5387D" w:rsidP="00237673">
      <w:pPr>
        <w:spacing w:after="0" w:line="240" w:lineRule="auto"/>
      </w:pPr>
      <w:r>
        <w:separator/>
      </w:r>
    </w:p>
  </w:endnote>
  <w:endnote w:type="continuationSeparator" w:id="0">
    <w:p w14:paraId="75D02BE2" w14:textId="77777777" w:rsidR="00E5387D" w:rsidRDefault="00E5387D" w:rsidP="0023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008720"/>
      <w:docPartObj>
        <w:docPartGallery w:val="Page Numbers (Bottom of Page)"/>
        <w:docPartUnique/>
      </w:docPartObj>
    </w:sdtPr>
    <w:sdtContent>
      <w:sdt>
        <w:sdtPr>
          <w:id w:val="1728636285"/>
          <w:docPartObj>
            <w:docPartGallery w:val="Page Numbers (Top of Page)"/>
            <w:docPartUnique/>
          </w:docPartObj>
        </w:sdtPr>
        <w:sdtContent>
          <w:p w14:paraId="329A926F" w14:textId="1B4C76F6" w:rsidR="00237673" w:rsidRDefault="002376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30C00A" w14:textId="77777777" w:rsidR="00237673" w:rsidRDefault="0023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3947" w14:textId="77777777" w:rsidR="00E5387D" w:rsidRDefault="00E5387D" w:rsidP="00237673">
      <w:pPr>
        <w:spacing w:after="0" w:line="240" w:lineRule="auto"/>
      </w:pPr>
      <w:r>
        <w:separator/>
      </w:r>
    </w:p>
  </w:footnote>
  <w:footnote w:type="continuationSeparator" w:id="0">
    <w:p w14:paraId="0BB03A4E" w14:textId="77777777" w:rsidR="00E5387D" w:rsidRDefault="00E5387D" w:rsidP="00237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5E7E"/>
    <w:multiLevelType w:val="hybridMultilevel"/>
    <w:tmpl w:val="D602AA42"/>
    <w:lvl w:ilvl="0" w:tplc="0FFA41E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3BB83808"/>
    <w:multiLevelType w:val="hybridMultilevel"/>
    <w:tmpl w:val="66AAE9E8"/>
    <w:lvl w:ilvl="0" w:tplc="C39A636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100F47"/>
    <w:multiLevelType w:val="hybridMultilevel"/>
    <w:tmpl w:val="3A2AD342"/>
    <w:lvl w:ilvl="0" w:tplc="671AE328">
      <w:start w:val="1"/>
      <w:numFmt w:val="bullet"/>
      <w:lvlText w:val="-"/>
      <w:lvlJc w:val="left"/>
      <w:pPr>
        <w:ind w:left="1428"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A630DA5"/>
    <w:multiLevelType w:val="hybridMultilevel"/>
    <w:tmpl w:val="8CDC4DB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4BBD5405"/>
    <w:multiLevelType w:val="hybridMultilevel"/>
    <w:tmpl w:val="B0D089CC"/>
    <w:lvl w:ilvl="0" w:tplc="EC8C5F8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51E57821"/>
    <w:multiLevelType w:val="hybridMultilevel"/>
    <w:tmpl w:val="93CEB86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61DE43D4"/>
    <w:multiLevelType w:val="hybridMultilevel"/>
    <w:tmpl w:val="1632FAA2"/>
    <w:lvl w:ilvl="0" w:tplc="D632C6C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1449737997">
    <w:abstractNumId w:val="1"/>
  </w:num>
  <w:num w:numId="2" w16cid:durableId="529224898">
    <w:abstractNumId w:val="4"/>
  </w:num>
  <w:num w:numId="3" w16cid:durableId="1303340641">
    <w:abstractNumId w:val="2"/>
  </w:num>
  <w:num w:numId="4" w16cid:durableId="572737685">
    <w:abstractNumId w:val="0"/>
  </w:num>
  <w:num w:numId="5" w16cid:durableId="1423525295">
    <w:abstractNumId w:val="6"/>
  </w:num>
  <w:num w:numId="6" w16cid:durableId="1702048703">
    <w:abstractNumId w:val="5"/>
  </w:num>
  <w:num w:numId="7" w16cid:durableId="941306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D2"/>
    <w:rsid w:val="00000B40"/>
    <w:rsid w:val="00013ED5"/>
    <w:rsid w:val="0003431D"/>
    <w:rsid w:val="00090624"/>
    <w:rsid w:val="00095F0C"/>
    <w:rsid w:val="0009765D"/>
    <w:rsid w:val="000A1370"/>
    <w:rsid w:val="000B3DDE"/>
    <w:rsid w:val="000C0156"/>
    <w:rsid w:val="000C59A0"/>
    <w:rsid w:val="000E2997"/>
    <w:rsid w:val="000F317A"/>
    <w:rsid w:val="00126B00"/>
    <w:rsid w:val="001316A9"/>
    <w:rsid w:val="00146203"/>
    <w:rsid w:val="00160E1A"/>
    <w:rsid w:val="00177D87"/>
    <w:rsid w:val="001924BD"/>
    <w:rsid w:val="00193130"/>
    <w:rsid w:val="001B7EEE"/>
    <w:rsid w:val="001E06DF"/>
    <w:rsid w:val="001F693E"/>
    <w:rsid w:val="002206B0"/>
    <w:rsid w:val="00223E8A"/>
    <w:rsid w:val="00237673"/>
    <w:rsid w:val="00265909"/>
    <w:rsid w:val="00282866"/>
    <w:rsid w:val="002B1739"/>
    <w:rsid w:val="002F2991"/>
    <w:rsid w:val="002F6BDE"/>
    <w:rsid w:val="003165FE"/>
    <w:rsid w:val="00320C81"/>
    <w:rsid w:val="003500D3"/>
    <w:rsid w:val="0036213E"/>
    <w:rsid w:val="003845D2"/>
    <w:rsid w:val="00396C78"/>
    <w:rsid w:val="003C014E"/>
    <w:rsid w:val="003C70D2"/>
    <w:rsid w:val="003F4B6C"/>
    <w:rsid w:val="00407FD7"/>
    <w:rsid w:val="00414143"/>
    <w:rsid w:val="00433B4B"/>
    <w:rsid w:val="004748EE"/>
    <w:rsid w:val="00491303"/>
    <w:rsid w:val="00510A42"/>
    <w:rsid w:val="005541F4"/>
    <w:rsid w:val="00590FED"/>
    <w:rsid w:val="0059253A"/>
    <w:rsid w:val="00597BA5"/>
    <w:rsid w:val="005D044E"/>
    <w:rsid w:val="005D26AD"/>
    <w:rsid w:val="005D2944"/>
    <w:rsid w:val="005E31D6"/>
    <w:rsid w:val="0061660F"/>
    <w:rsid w:val="00645AE8"/>
    <w:rsid w:val="0064788C"/>
    <w:rsid w:val="00655516"/>
    <w:rsid w:val="006575EB"/>
    <w:rsid w:val="00680E1B"/>
    <w:rsid w:val="006855D0"/>
    <w:rsid w:val="006941C3"/>
    <w:rsid w:val="006B6F57"/>
    <w:rsid w:val="006C6BB7"/>
    <w:rsid w:val="006D2B4A"/>
    <w:rsid w:val="006D3C2E"/>
    <w:rsid w:val="006E7C58"/>
    <w:rsid w:val="007035AB"/>
    <w:rsid w:val="007106CA"/>
    <w:rsid w:val="00713ED8"/>
    <w:rsid w:val="00715F66"/>
    <w:rsid w:val="007166EA"/>
    <w:rsid w:val="00747923"/>
    <w:rsid w:val="00752068"/>
    <w:rsid w:val="00763C8D"/>
    <w:rsid w:val="007754A0"/>
    <w:rsid w:val="007D0239"/>
    <w:rsid w:val="007E2FC3"/>
    <w:rsid w:val="007F719D"/>
    <w:rsid w:val="0081319B"/>
    <w:rsid w:val="008302E1"/>
    <w:rsid w:val="00863410"/>
    <w:rsid w:val="008914B9"/>
    <w:rsid w:val="008B36E4"/>
    <w:rsid w:val="008F5295"/>
    <w:rsid w:val="0090106E"/>
    <w:rsid w:val="00907764"/>
    <w:rsid w:val="00913F1E"/>
    <w:rsid w:val="00943020"/>
    <w:rsid w:val="00944366"/>
    <w:rsid w:val="00944E68"/>
    <w:rsid w:val="00950D1B"/>
    <w:rsid w:val="00952C82"/>
    <w:rsid w:val="00960AD8"/>
    <w:rsid w:val="0096675D"/>
    <w:rsid w:val="00967C89"/>
    <w:rsid w:val="009775F6"/>
    <w:rsid w:val="009C013C"/>
    <w:rsid w:val="009C5DDC"/>
    <w:rsid w:val="00A02A30"/>
    <w:rsid w:val="00A31BA2"/>
    <w:rsid w:val="00A35FA9"/>
    <w:rsid w:val="00A45756"/>
    <w:rsid w:val="00A66758"/>
    <w:rsid w:val="00A70D47"/>
    <w:rsid w:val="00A74CFA"/>
    <w:rsid w:val="00A8286D"/>
    <w:rsid w:val="00A83EC7"/>
    <w:rsid w:val="00A9097A"/>
    <w:rsid w:val="00AB77A2"/>
    <w:rsid w:val="00AF7719"/>
    <w:rsid w:val="00AF7CE7"/>
    <w:rsid w:val="00B027DB"/>
    <w:rsid w:val="00B20F45"/>
    <w:rsid w:val="00B41A25"/>
    <w:rsid w:val="00B633DB"/>
    <w:rsid w:val="00B665F6"/>
    <w:rsid w:val="00B7231C"/>
    <w:rsid w:val="00B82F6D"/>
    <w:rsid w:val="00BA0AAD"/>
    <w:rsid w:val="00BA3578"/>
    <w:rsid w:val="00BB390B"/>
    <w:rsid w:val="00BD1131"/>
    <w:rsid w:val="00BD28F0"/>
    <w:rsid w:val="00BD28F1"/>
    <w:rsid w:val="00BD327A"/>
    <w:rsid w:val="00BE2627"/>
    <w:rsid w:val="00BE2986"/>
    <w:rsid w:val="00BF5A63"/>
    <w:rsid w:val="00C3169F"/>
    <w:rsid w:val="00C31E52"/>
    <w:rsid w:val="00C31F54"/>
    <w:rsid w:val="00C33D31"/>
    <w:rsid w:val="00C62B22"/>
    <w:rsid w:val="00C70AE6"/>
    <w:rsid w:val="00C81B1C"/>
    <w:rsid w:val="00C821AF"/>
    <w:rsid w:val="00C870F9"/>
    <w:rsid w:val="00C920B2"/>
    <w:rsid w:val="00C957CA"/>
    <w:rsid w:val="00C965FC"/>
    <w:rsid w:val="00C96792"/>
    <w:rsid w:val="00CA384A"/>
    <w:rsid w:val="00CA5B23"/>
    <w:rsid w:val="00CA627A"/>
    <w:rsid w:val="00CC0949"/>
    <w:rsid w:val="00CD7C24"/>
    <w:rsid w:val="00CE7278"/>
    <w:rsid w:val="00D003AA"/>
    <w:rsid w:val="00D303C2"/>
    <w:rsid w:val="00D4736F"/>
    <w:rsid w:val="00D5521F"/>
    <w:rsid w:val="00D6313B"/>
    <w:rsid w:val="00D70A85"/>
    <w:rsid w:val="00D770D4"/>
    <w:rsid w:val="00DB2F2B"/>
    <w:rsid w:val="00DB403B"/>
    <w:rsid w:val="00DB699D"/>
    <w:rsid w:val="00DF1B94"/>
    <w:rsid w:val="00DF35F8"/>
    <w:rsid w:val="00E0479D"/>
    <w:rsid w:val="00E4510F"/>
    <w:rsid w:val="00E5387D"/>
    <w:rsid w:val="00E66FB3"/>
    <w:rsid w:val="00E77868"/>
    <w:rsid w:val="00E81449"/>
    <w:rsid w:val="00E878FD"/>
    <w:rsid w:val="00E9195A"/>
    <w:rsid w:val="00EA08EC"/>
    <w:rsid w:val="00EA2F3C"/>
    <w:rsid w:val="00EA73B5"/>
    <w:rsid w:val="00EB47A9"/>
    <w:rsid w:val="00ED0561"/>
    <w:rsid w:val="00ED0CBF"/>
    <w:rsid w:val="00ED701E"/>
    <w:rsid w:val="00F00331"/>
    <w:rsid w:val="00F03655"/>
    <w:rsid w:val="00F07986"/>
    <w:rsid w:val="00F30913"/>
    <w:rsid w:val="00F42D32"/>
    <w:rsid w:val="00F61510"/>
    <w:rsid w:val="00F7105E"/>
    <w:rsid w:val="00F86579"/>
    <w:rsid w:val="00FA7394"/>
    <w:rsid w:val="00FC1EB7"/>
    <w:rsid w:val="00FC288C"/>
    <w:rsid w:val="00FD0BAE"/>
    <w:rsid w:val="00FD2F50"/>
    <w:rsid w:val="00FE3772"/>
    <w:rsid w:val="00FE57A2"/>
    <w:rsid w:val="00FE71F4"/>
    <w:rsid w:val="00FF1FA5"/>
    <w:rsid w:val="71446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E0FB"/>
  <w15:chartTrackingRefBased/>
  <w15:docId w15:val="{D4F190D9-64AE-4523-85C9-CB51DC27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33D31"/>
    <w:rPr>
      <w:color w:val="0000FF"/>
      <w:u w:val="single"/>
    </w:rPr>
  </w:style>
  <w:style w:type="character" w:styleId="UnresolvedMention">
    <w:name w:val="Unresolved Mention"/>
    <w:basedOn w:val="DefaultParagraphFont"/>
    <w:uiPriority w:val="99"/>
    <w:semiHidden/>
    <w:unhideWhenUsed/>
    <w:rsid w:val="00223E8A"/>
    <w:rPr>
      <w:color w:val="605E5C"/>
      <w:shd w:val="clear" w:color="auto" w:fill="E1DFDD"/>
    </w:rPr>
  </w:style>
  <w:style w:type="paragraph" w:styleId="Header">
    <w:name w:val="header"/>
    <w:basedOn w:val="Normal"/>
    <w:link w:val="HeaderChar"/>
    <w:uiPriority w:val="99"/>
    <w:unhideWhenUsed/>
    <w:rsid w:val="00237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673"/>
  </w:style>
  <w:style w:type="paragraph" w:styleId="Footer">
    <w:name w:val="footer"/>
    <w:basedOn w:val="Normal"/>
    <w:link w:val="FooterChar"/>
    <w:uiPriority w:val="99"/>
    <w:unhideWhenUsed/>
    <w:rsid w:val="00237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orix.co.jp/grp/en/sustainability/policies_and_data.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orix.co.jp/grp/en/pdf/sustainability/sustainability_report/SR2021E.pdf" TargetMode="External"/><Relationship Id="rId2" Type="http://schemas.openxmlformats.org/officeDocument/2006/relationships/customXml" Target="../customXml/item2.xml"/><Relationship Id="rId16" Type="http://schemas.openxmlformats.org/officeDocument/2006/relationships/hyperlink" Target="https://www.orix.co.jp/grp/en/pdf/sustainability/sustainability_report/SR2019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hyperlink" Target="https://www.orix.co.jp/grp/en/pdf/ir/library/presentation/Presentation_2022_2Q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zennorasset-my.sharepoint.com/personal/david_mitchinson_zennor-am_com/Documents/Sustainability/Engagement%20Track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H2 2021 Engagement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A3-4464-98E6-6365468210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0A3-4464-98E6-6365468210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0A3-4464-98E6-6365468210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0A3-4464-98E6-636546821074}"/>
              </c:ext>
            </c:extLst>
          </c:dPt>
          <c:cat>
            <c:strRef>
              <c:f>Summary!$I$10:$I$13</c:f>
              <c:strCache>
                <c:ptCount val="3"/>
                <c:pt idx="0">
                  <c:v>Governance</c:v>
                </c:pt>
                <c:pt idx="1">
                  <c:v>Strategy</c:v>
                </c:pt>
                <c:pt idx="2">
                  <c:v>Environmental</c:v>
                </c:pt>
              </c:strCache>
            </c:strRef>
          </c:cat>
          <c:val>
            <c:numRef>
              <c:f>Summary!$J$10:$J$13</c:f>
              <c:numCache>
                <c:formatCode>0%</c:formatCode>
                <c:ptCount val="4"/>
                <c:pt idx="0">
                  <c:v>0.38095238095238093</c:v>
                </c:pt>
                <c:pt idx="1">
                  <c:v>0.19047619047619047</c:v>
                </c:pt>
                <c:pt idx="2">
                  <c:v>0.42857142857142855</c:v>
                </c:pt>
              </c:numCache>
            </c:numRef>
          </c:val>
          <c:extLst>
            <c:ext xmlns:c16="http://schemas.microsoft.com/office/drawing/2014/chart" uri="{C3380CC4-5D6E-409C-BE32-E72D297353CC}">
              <c16:uniqueId val="{00000008-20A3-4464-98E6-636546821074}"/>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DF1FF8EE5A048B5F6CA8D6399667D" ma:contentTypeVersion="16" ma:contentTypeDescription="Create a new document." ma:contentTypeScope="" ma:versionID="fc269c9b2ae6adf51622fb3c557fa93c">
  <xsd:schema xmlns:xsd="http://www.w3.org/2001/XMLSchema" xmlns:xs="http://www.w3.org/2001/XMLSchema" xmlns:p="http://schemas.microsoft.com/office/2006/metadata/properties" xmlns:ns2="a848cc8f-795c-47a6-b096-fca19e33e1e4" xmlns:ns3="59bec219-3962-48a4-9d19-3f59b6a72ae7" targetNamespace="http://schemas.microsoft.com/office/2006/metadata/properties" ma:root="true" ma:fieldsID="33ec3d054a76cecb4fe30db80e8a797f" ns2:_="" ns3:_="">
    <xsd:import namespace="a848cc8f-795c-47a6-b096-fca19e33e1e4"/>
    <xsd:import namespace="59bec219-3962-48a4-9d19-3f59b6a72a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8cc8f-795c-47a6-b096-fca19e33e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c1d11a-4f35-462b-b18e-013022d8c9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bec219-3962-48a4-9d19-3f59b6a72a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5044bc-77d3-4cb7-8fbb-f68d682b5342}" ma:internalName="TaxCatchAll" ma:showField="CatchAllData" ma:web="59bec219-3962-48a4-9d19-3f59b6a72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48cc8f-795c-47a6-b096-fca19e33e1e4">
      <Terms xmlns="http://schemas.microsoft.com/office/infopath/2007/PartnerControls"/>
    </lcf76f155ced4ddcb4097134ff3c332f>
    <TaxCatchAll xmlns="59bec219-3962-48a4-9d19-3f59b6a72a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5D482-4718-4BCB-84D3-D5742B264E47}"/>
</file>

<file path=customXml/itemProps2.xml><?xml version="1.0" encoding="utf-8"?>
<ds:datastoreItem xmlns:ds="http://schemas.openxmlformats.org/officeDocument/2006/customXml" ds:itemID="{064B4653-424F-4C20-8A5D-CF51C272E982}">
  <ds:schemaRefs>
    <ds:schemaRef ds:uri="http://schemas.microsoft.com/office/2006/metadata/properties"/>
    <ds:schemaRef ds:uri="http://schemas.microsoft.com/office/infopath/2007/PartnerControls"/>
    <ds:schemaRef ds:uri="80bc1f0a-d55d-475a-bbe8-2af413111f0d"/>
    <ds:schemaRef ds:uri="0b9552aa-e66a-4ca6-b825-68822d4e2247"/>
  </ds:schemaRefs>
</ds:datastoreItem>
</file>

<file path=customXml/itemProps3.xml><?xml version="1.0" encoding="utf-8"?>
<ds:datastoreItem xmlns:ds="http://schemas.openxmlformats.org/officeDocument/2006/customXml" ds:itemID="{C066937A-CCCE-4489-AA2A-E8DD924AE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1294</Words>
  <Characters>7378</Characters>
  <Application>Microsoft Office Word</Application>
  <DocSecurity>0</DocSecurity>
  <Lines>61</Lines>
  <Paragraphs>17</Paragraphs>
  <ScaleCrop>false</ScaleCrop>
  <Company>SAUREN Fonds-Service AG</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Viehmann</dc:creator>
  <cp:keywords/>
  <dc:description/>
  <cp:lastModifiedBy>Daniela Utane: Spring Capital</cp:lastModifiedBy>
  <cp:revision>11</cp:revision>
  <cp:lastPrinted>2022-02-01T15:22:00Z</cp:lastPrinted>
  <dcterms:created xsi:type="dcterms:W3CDTF">2023-05-12T13:18:00Z</dcterms:created>
  <dcterms:modified xsi:type="dcterms:W3CDTF">2023-06-19T12:52:00Z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0x010100993149E5D19E1247BCABF9ABBD45F7CC</vt:lpwstr>
  </property>
  <property fmtid="{D5CDD505-2E9C-101B-9397-08002B2CF9AE}" pid="3" name="MediaServiceImageTags">
    <vt:lpwstr/>
  </property>
</Properties>
</file>